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FI.2023.0104 vom 10. Januar 2024</w:t>
      </w:r>
    </w:p>
    <w:p>
      <w:r>
        <w:t>VD Tribunal cantonal, 2024-01-10, FR</w:t>
      </w:r>
    </w:p>
    <w:p>
      <w:r>
        <w:rPr>
          <w:b/>
        </w:rPr>
        <w:t xml:space="preserve">Quelle: </w:t>
      </w:r>
      <w:r>
        <w:t>https://mcp.opencaselaw.ch/entscheid/vd_omni_FI.2023.0104</w:t>
      </w:r>
    </w:p>
    <w:p>
      <w:r>
        <w:t>FR: VD_OMNI FI.2023.0104 du 10 janvier 2024</w:t>
      </w:r>
    </w:p>
    <w:p>
      <w:r>
        <w:t>IT: VD_OMNI FI.2023.0104 del 10 gennaio 2024</w:t>
      </w:r>
    </w:p>
    <w:p>
      <w:pPr>
        <w:pStyle w:val="Heading2"/>
      </w:pPr>
      <w:r>
        <w:t>Regeste</w:t>
      </w:r>
    </w:p>
    <w:p>
      <w:r>
        <w:t>A.________/Administration cantonale des impôts, Office d'impôt des districts de Nyon et Morges | Inscrit au rôle des contribuables du canton de Vaud, où il est assujetti de manière illimitée, le recourant n'a pas déposé sa déclaration d'impôt pour l’année 2016 avant de recevoir la sommation, ce qu’il ne conteste pas. Par conséquent, tant la sommation que l'émolument y relatif sont justifiés.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A défaut de motivation s'agissant de l'émolument de sommation, il est en revanche très douteux qu'il soit conforme à l'art. 79 al. 1 LPA-VD et donc recevable. La question peut demeurer indécise au vu du sort du recours.</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contribuable qui omet de déposer la formule de déclaration d'impôt, ou qui dépose une formule incomplète, est invité à remédier à l'omission dans un délai raisonnable.</w:t>
      </w:r>
    </w:p>
    <w:p>
      <w:r>
        <w:rPr>
          <w:b/>
        </w:rPr>
        <w:t>E. 4</w:t>
      </w:r>
    </w:p>
    <w:p>
      <w:r>
        <w:t>Le recours doit en conséquence être rejeté dans la mesure de sa recevabilité et l'émolument contesté, confirmé.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