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FI.2023.0050 vom 27. Juni 2023</w:t>
      </w:r>
    </w:p>
    <w:p>
      <w:r>
        <w:t>VD Tribunal cantonal, 2023-06-27, FR</w:t>
      </w:r>
    </w:p>
    <w:p>
      <w:r>
        <w:rPr>
          <w:b/>
        </w:rPr>
        <w:t xml:space="preserve">Quelle: </w:t>
      </w:r>
      <w:r>
        <w:t>https://mcp.opencaselaw.ch/entscheid/vd_omni_FI.2023.0050</w:t>
      </w:r>
    </w:p>
    <w:p>
      <w:r>
        <w:t>FR: VD_OMNI FI.2023.0050 du 27 juin 2023</w:t>
      </w:r>
    </w:p>
    <w:p>
      <w:r>
        <w:t>IT: VD_OMNI FI.2023.0050 del 27 giugno 2023</w:t>
      </w:r>
    </w:p>
    <w:p>
      <w:pPr>
        <w:pStyle w:val="Heading2"/>
      </w:pPr>
      <w:r>
        <w:t>Regeste</w:t>
      </w:r>
    </w:p>
    <w:p>
      <w:r>
        <w:t>A.________, B.________/Administration cantonale des impôts, Administration fédérale des contributions | Confirmation de la décision de l'ACI, déclarant irrecevable la réclamation formée par les recourants contre une décision de taxation définitive: les recourants ne contestent pas avoir agi tardivement; ils reconnaissent par ailleurs une faute de leur part.</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régularisé dans le délai imparti, satisfait par ailleurs aux autres conditions formelles de recevabilité (cf. en particulier art. 140 al. 2 LIFD et 79 al. 1 LPA-VD, applicable par renvoi de l'art. 99 LPA-VD), de sorte qu'il y a lieu d'entrer en matière sur le fond.</w:t>
      </w:r>
    </w:p>
    <w:p>
      <w:r>
        <w:rPr>
          <w:b/>
        </w:rPr>
        <w:t>E. 2</w:t>
      </w:r>
    </w:p>
    <w:p>
      <w:r>
        <w:t>L'autorité intimée a déclaré irrecevable, pour cause de tardiveté, la réclamation formée le 9 avril 2021 contre la décision de taxation du 25 février 2021. Le litige porte uniquement sur cette question de recevabilité. Les conclusions tendant à la modification de la décision de taxation sont dès lors irrecevables.</w:t>
      </w:r>
    </w:p>
    <w:p>
      <w:r>
        <w:rPr>
          <w:b/>
        </w:rPr>
        <w:t>E. 3</w:t>
      </w:r>
    </w:p>
    <w:p>
      <w:r>
        <w:t>a) Le contribuable peut adresser à l'autorité de taxation une réclamation écrite contre la décision de taxation dans les 30 jours qui suivent sa notification (art. 132 al. 1 LIFD; art. 185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Selon la jurisprudence, la notification d'une décision est réputée effectuée le jour où l'envoi entre dans la sphère d'influence de son destinataire (cf. ATF 137 III 208 consid. 3.1.2 et les références).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En l'espèce, les recourants ne contestent pas n'avoir pas déposé leur réclamation dans le délai légal de trente jours. Ils reconnaissent par ailleurs une faute de leur part. Ils se déclarent à cet égard disposés à payer une amende. Il leur échappe toutefois que l'inobservation du délai de réclamation, qui est un délai de péremption (cf. TF 2C_372/2016 consid. 3.3.1 et les références citées), entraîne l'irrecevabilité de la réclamation (cf. arrêt FI.2021.0052 du 18 octobre 2021 consid. 3b in fine et les références). La décision attaquée ne peut dès lors qu'être confirmée.</w:t>
      </w:r>
    </w:p>
    <w:p>
      <w:r>
        <w:rPr>
          <w:b/>
        </w:rPr>
        <w:t>E. 4</w:t>
      </w:r>
    </w:p>
    <w:p>
      <w:r>
        <w:t>Manifestement mal fondé, le recours doit être rejeté, dans la mesure où il est recevable, selon la procédure simplifiée de l'art. 82 LPA-VD. Les recourants, qui succombent, supporteront les frais de justice (cf. art. 49 al. 1 LPA-VD), solidairement entre eux (cf. art. 51 al. 2 LPA-VD), frais qui seront réduits à un montant de 500 fr. pour tenir compte du fait que le litige ne portait que sur une question de recevabilité et que les opérations sont restées ainsi limitées.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