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FI.2023.0044 vom 12. Mai 2023</w:t>
      </w:r>
    </w:p>
    <w:p>
      <w:r>
        <w:t>VD Tribunal cantonal, 2023-05-12, FR</w:t>
      </w:r>
    </w:p>
    <w:p>
      <w:r>
        <w:rPr>
          <w:b/>
        </w:rPr>
        <w:t xml:space="preserve">Quelle: </w:t>
      </w:r>
      <w:r>
        <w:t>https://mcp.opencaselaw.ch/entscheid/vd_omni_FI.2023.0044</w:t>
      </w:r>
    </w:p>
    <w:p>
      <w:r>
        <w:t>FR: VD_OMNI FI.2023.0044 du 12 mai 2023</w:t>
      </w:r>
    </w:p>
    <w:p>
      <w:r>
        <w:t>IT: VD_OMNI FI.2023.0044 del 12 maggio 2023</w:t>
      </w:r>
    </w:p>
    <w:p>
      <w:pPr>
        <w:pStyle w:val="Heading2"/>
      </w:pPr>
      <w:r>
        <w:t>Regeste</w:t>
      </w:r>
    </w:p>
    <w:p>
      <w:r>
        <w:t>A.________/Office d'impôt des districts du Jura-Nord vaudois et Broye-Vully, Administration cantonale des impôts | Rejet du recours contre un émolument sommation. Dans la mesure où aucune déclaration d'impôt n'a été déposée valablement, ni à l'échéance du délai ordinaire, ni à l'échéance du délai de tolérance au 30 novembre 2022, la sommation du 23 décembre 2022, ainsi que l'émolument y relatif, sont justifiés.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Les considérants qui précèdent conduisent au rejet du recours et à la confirmation de la décision attaquée, selon la procédure simplifiée de l'art. 82 LPA-VD (par renvoi de l'art. 99 LPA-VD), sans échange d'écritures. La demande d'assistance judiciaire doit également être rejetée, les conclusions du recourant étant manifestement vouées à l'échec (cf. art. 18 al. 1 in fine LPA-VD). Le recourant, qui succombe, devrait supporter les frais de justice (cf. art. 49 al. 1 LPA-VD). Toutefois, selon l'art. 50 LPA-VD, lorsque l'équité l'exige, en particulier lorsque la perception de frais serait d'une rigueur excessive pour la partie qui devrait les supporter, l'autorité peut renoncer à percevoir des frais de procédure. Il sera fait application de cette dernière disposition en l'espèce, compte tenu de la situation.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