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FI.2023.0007 vom 23. März 2023</w:t>
      </w:r>
    </w:p>
    <w:p>
      <w:r>
        <w:t>VD Tribunal cantonal, 2023-03-23, FR</w:t>
      </w:r>
    </w:p>
    <w:p>
      <w:r>
        <w:rPr>
          <w:b/>
        </w:rPr>
        <w:t xml:space="preserve">Quelle: </w:t>
      </w:r>
      <w:r>
        <w:t>https://mcp.opencaselaw.ch/entscheid/vd_omni_FI.2023.0007</w:t>
      </w:r>
    </w:p>
    <w:p>
      <w:r>
        <w:t>FR: VD_OMNI FI.2023.0007 du 23 mars 2023</w:t>
      </w:r>
    </w:p>
    <w:p>
      <w:r>
        <w:t>IT: VD_OMNI FI.2023.0007 del 23 marzo 2023</w:t>
      </w:r>
    </w:p>
    <w:p>
      <w:pPr>
        <w:pStyle w:val="Heading2"/>
      </w:pPr>
      <w:r>
        <w:t>Regeste</w:t>
      </w:r>
    </w:p>
    <w:p>
      <w:r>
        <w:t>A.________/Office d'impôt des districts de Lausanne et Ouest lausannois, Administration cantonale des impôts | Confirmation de l'émolument de sommation de 50 fr. mis à la charge d'une contribuable qui n'a pas déposé sa déclaration d'impôt dans le délai imparti. La recourante ne pouvait ignorer qu'il lui incombait de faire parvenir sa déclaration d'impôt à l'autorité de taxation. Recours rejeté.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l'art. 95 de la loi vaudoise du 28 octobre 2008 sur la procédure administrative (LPA-VD; BLV 173.36), le recours est intervenu en temps utile (cf. ég. art. 20 al. 2 LPA-VD, qui dispose que lorsqu'une partie s'adresse en temps utile à une autorité incompétente – comme en l'occurrence –, le délai est réputé sauvegardé). Compte tenu de l'issue du recours, on se dispensera d'examiner si le recours satisfait par ailleurs les conditions formelles énoncées à l’art. 79 LPA-VD.</w:t>
      </w:r>
    </w:p>
    <w:p>
      <w:r>
        <w:rPr>
          <w:b/>
        </w:rPr>
        <w:t>E. 2</w:t>
      </w:r>
    </w:p>
    <w:p>
      <w:r>
        <w:t>Le contribuable doit remplir la formule de déclaration d'impôt de manière conforme à la vérité et complète; il doit la signer personnellement et la remettre à l'autorité compétente avec les annexes prescrites dans le délai qui lui est imparti.</w:t>
      </w:r>
    </w:p>
    <w:p>
      <w:r>
        <w:rPr>
          <w:b/>
        </w:rPr>
        <w:t>E. 3</w:t>
      </w:r>
    </w:p>
    <w:p>
      <w:r>
        <w:t>Le délai de dépôt de la déclaration peut être prolongé par l'autorité de taxation sur demande écrite et motivée.</w:t>
      </w:r>
    </w:p>
    <w:p>
      <w:r>
        <w:rPr>
          <w:b/>
        </w:rPr>
        <w:t>E. 4</w:t>
      </w:r>
    </w:p>
    <w:p>
      <w:r>
        <w:t>Les considérants qui précèdent conduisent au rejet du recours, dans la mesure où il est recevable, et à la confirmation de la décision attaquée, selon la procédure simplifiée de l'art. 82 LPA-VD (par renvoi de l'art. 99 LPA-VD), sans échange d'écritures. La recourante, qui succombe, supportera les frais de justice (cf. art. 49 al. 1 LPA-VD). L'allocation de dépens n'entre pas en considération (cf. art. 55 al. 1 a contrario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