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FI.2022.0161 vom 26. September 2023</w:t>
      </w:r>
    </w:p>
    <w:p>
      <w:r>
        <w:t>VD Tribunal cantonal, 2023-09-26, FR</w:t>
      </w:r>
    </w:p>
    <w:p>
      <w:r>
        <w:rPr>
          <w:b/>
        </w:rPr>
        <w:t xml:space="preserve">Quelle: </w:t>
      </w:r>
      <w:r>
        <w:t>https://mcp.opencaselaw.ch/entscheid/vd_omni_FI.2022.0161</w:t>
      </w:r>
    </w:p>
    <w:p>
      <w:r>
        <w:t>FR: VD_OMNI FI.2022.0161 du 26 septembre 2023</w:t>
      </w:r>
    </w:p>
    <w:p>
      <w:r>
        <w:t>IT: VD_OMNI FI.2022.0161 del 26 settembre 2023</w:t>
      </w:r>
    </w:p>
    <w:p>
      <w:pPr>
        <w:pStyle w:val="Heading2"/>
      </w:pPr>
      <w:r>
        <w:t>Regeste</w:t>
      </w:r>
    </w:p>
    <w:p>
      <w:r>
        <w:t>A.________/Administration cantonale des impôts, Administration fédérale des contributions | La recourante admet elle-même que sa réclamation, formée hors délai, est tardive. Elle explique avoir égaré la décision de taxation en raison de sa réorganisation due à la pandémie de Covid-19; lorsqu’elle l'a retrouvée, le délai légal de trente jours pour former une réclamation était échu; le moyen invoqué ne constitue pas un empêchement obbjectif d'agir en temps utile et ne permet donc pas de lui accorder une restitution du délai. Recours rejeté dans la mesure de sa recevabilité.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Aux termes de l’art. 79 al. 2, 1 ère phrase, LPA-VD, le recourant ne peut pas prendre des conclusions qui sortent du cadre fixé par la décision attaquée. In casu, la décision attaquée a uniquement trait à la recevabilité de la réclamation. Comme on le verra plus loin, l’autorité de recours doit, dans une situation de ce genre, se limiter à dire si c’est à bon droit ou non que l'autorité précédente a estimé que la réclamation était tardive; elle n’a pas à examiner les arguments que le contribuable peut soulever au fond (consid. 4d, infra). Les conclusions que la recourante a prises dans ses dernières déterminations sont dès lors irrecevables.</w:t>
      </w:r>
    </w:p>
    <w:p>
      <w:r>
        <w:rPr>
          <w:b/>
        </w:rPr>
        <w:t>E. 3</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4</w:t>
      </w:r>
    </w:p>
    <w:p>
      <w:r>
        <w:t>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Les délais fixés dans la loi ne peuvent être prolongés (cf. art. 119 al. 1 LIFD; 21 al. 1 LPA-VD, applicable par renvoi de l’art. 188 al. 6 LI). Ceux impartis par l’autorité peuvent être prolongés s’il existe des motifs sérieux ou suffisants et que la demande de prolongation est présentée avant l’expiration de ces délais (cf. art. 119 al. 2 LIFD;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La preuve du respect du délai de réclamation incombe au contribuable (cf. arrêt TF 2C_99/2015 du 2 juin 2015 consid. 4.7 et les références). b) L’art. 116 al. 1 LIFD prescrit que les décisions et les prononcés sont notifiés au contribuable par écrit et doivent indiquer les voies de droit. L’art. 44 LPA-VD, auquel renvoie l’art. 163 LI,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n’est en revanche plus nécessaire lorsque le contribuable admet lui-même avoir agi tardivement (arrêt CDAP FI.2020.0010 du 8 septembre 2020) ou lorsqu’il résulte de ses propres explications qu’il a agi tardivement (v. arrêts FI.2023.0009 du 26 juin 2023; FI.2021.0052 du 18 octobre 2021; FI.2018.0006 du 14 janvier 2019). c) Les délais de réclamation et de recours sont péremptoires (v. Lydia Masmejan-Fey/Guillaume Vianin, in: Commentaire romand, Impôt fédéral direct, 2 e éd., Noël/Aubry Girardin [édit.], Bâle 2017, n.3 ad art. 119 LIFD; Xavier Oberson, Le contentieux fiscal, in: Les procédures en droit fiscal, OREF [éd.], 4 e éd., Berne 2021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L’inobservation des délais légaux ne peut, quant à elle, être corrigée que par la voie de la restitution (v. Jean-Maurice Frésard, in: Commentaire de la loi sur le Tribunal fédéral, Aubry Girardin et al. [édit.], 3 e éd., Berne 2022, ad art. 47 LTF n°5, p. 505). d)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arrêts FI.2005.0202 du 26 septembre 2006; FI.2004.0105 du 10 janvier 2006; FI.2003.0127 du 29 avril 2004; FI.2003.0099 du 3 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 e) En la présente espèce, la notification de la décision du 17 avril 2020 est intervenue par pli simple, comme le permet l’art. 44 al. 2 LPA-VD, et non par pli recommandé. Cependant, la recourante a elle-même admis, tant dans sa réclamation que dans son recours, qu’elle avait contesté cette décision, bien que le délai de trente jours des art. 132 al. 1 LIFD et 186 al. 1 LI fût dépassé. Sur ce point, la recourant ne pourrait pas invoquer l’ordonnance fédérale du 20 mars 2020 sur la suspension des délais dans les procédures civiles et administratives pour assurer le maintien de la justice en lien avec le coronavirus (COVID-19; RO 2020 849), qui suspendait les délais légaux en procédure administrative du 21 mars au 19 avril 2020, dans la mesure où, en droit cantonal, le champ d’application de l’art. 96 al. 1 let. a LPA-VD, aux termes duquel les délais fixés en jours par la loi ou par l'autorité ne courent pas du septième jour avant Pâques au septième jour après Pâques inclusivement, est limité à la procédure de recours devant le Tribunal cantonal. Au vu de ce qui précède, il n’y a aucun doute sur le fait que cette réclamation, formée hors délai, est tardive, de sorte que l’autorité intimée ne pouvait pas légalement entrer en matière sur les griefs invoqués par la recourante à l’encontre de la décision de taxation, sous réserve d’un motif de restitution de ce délai. Il importe peu à cet égard que l’erreur commise par la recourante dans le calcul de la surface de son appartement pour la détermination de la valeur locative puisse aisément être décelée par l’autorité de taxation.</w:t>
      </w:r>
    </w:p>
    <w:p>
      <w:r>
        <w:rPr>
          <w:b/>
        </w:rPr>
        <w:t>E. 5</w:t>
      </w:r>
    </w:p>
    <w:p>
      <w:r>
        <w:t>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1ère phrase). La restitution d'un délai pour empêchement non fautif est exceptionnelle; il s'agit toutefois d'un principe général du droit (Moor/Poltier, op. cit.,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L'empêchement ne doit pas avoir été prévisible et être de nature telle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romwand, op. cit., n° 13s. ad art. 133 LIFD; Jean-François Poudret/Suzette Sandoz-Monod, Commentaire de la loi fédérale d'organisation judiciaire, Vol. I, Berne 1990, ad art. 35 OJ, n°2.3, p. 240; Kathrin Amstutz/Peter Arnold, in: Basel Kommentar, Niggli/Uebersax/Wiprächtiger/Kneubühler [édit.], 3e éd., Bâle 2018, n°5s. ad art. 50 LTF; Kaspar Plüss, in: Kommentar zum Verwaltungsrechtspflegegesetz des Kantons Zürich, 3e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arrêts FI.2020.0047 du 17 juin 2020; PS.2017.0007 du 1er février 2017, confirmé par arrêt 8C_169/2017 du 17 mars 2017). La CDAP et le Tribunal administratif ont cependant refusé de considérer comme non fautif l’empêchement de contribuables qui, sous la pression des circonstances, se sont complètement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L'absence temporaire du domicile peut également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RF 2016 811 consid. 2.2.2 ; v. ég. CDAP arrêt FI.2020.0047 du 17 juin 2020). La restitution de délai suppose que la partie et son mandataire aient été empêchés d'agir sans faute dans le délai fixé. Ainsi, le contribuable ne peut se fonder utilement sur son manque d’organisation ou son inexpérience en matière fiscale (arrêt FI.2021.0052 du 18 octobre 2021 consid. 4b). De même, la restitution n'entre pas en ligne de compte lorsque la partie ou son mandataire a renoncé à agir, que ce soit à la suite d'un choix délibéré, d'une erreur ou du conseil – peut-être erroné – d'un tiers (arrêts TF 6B_311/2015 du 30 juin 2015 consid. 2.1; 6B_968/2014 du 24 décembre 2014 consid. 1.3; 1B_250/2012 du 31 juillet 2012 consid. 2.3). En particulier, la négligence ou l'inattention d'un recourant concernant le dépôt d'une opposition (arrêt TF 6B_538/2014 du 8 janvier 2015 consid. 2.3 et 2.4), ainsi qu'une simple erreur dans la computation des délais (arrêt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TF 6B_538/2014 du 8 janvier 2015 consid. 2.5; 6B_1170/2013 du 8 septembre 2014 consid. 4). b) En l’espèce, il ressort de ses explications que la recourante, qui vit seule avec sa fille, a dû se réorganiser sur le plan administratif en raison de la survenance de la pandémie durant le printemps 2020. Ainsi, elle s’est retrouvée du jour au lendemain à travailler depuis chez elle et par surcroît, à devoir s’occuper de l’instruction de sa fille, qui ne pouvait plus aller en classe. Toujours selon ses explications, il en résulte que, pendant cette période, la recourante a égaré la décision de taxation du 17 avril 2020 dans un «amas de paperasse» . Lorsqu’elle a mis la main sur cette décision, le délai légal de trente jours pour former une réclamation était dépassé. Cela expliquerait que la réclamation contre cette décision ait été formée le 30 juin 2020 seulement. Les explications de la recourante ne peuvent être retenues; elles ne sont constitutives ni d’une impossibilité objective, ni d’une impossibilité subjective de respecter le délai de réclamation. Aucune cause extérieure et imprévue n’a empêché la recourante d’exercer son droit de former une réclamation dans le délai légal. La situation décrite par la recourante est loin d’être exceptionnelle; toute la population suisse a été exposée à la pandémie de Covid-19 et a été contrainte de prendre des dispositions particulières à compter du 16 mars 2020, y compris sur le plan administratif. Il appartenait à la recourante de faire preuve de diligence lorsque la décision de taxation du 17 avril 2020 lui a été notifiée. Du reste, lorsque cette décision de taxation lui a été notifiée, cela faisait un mois que les mesures ordonnées par les autorités fédérales et cantonales avaient été mises en place. La recourante disposait ainsi du temps nécessaire pour s’organiser et faire en sorte de ne pas être débordée dans son organisation administrative. En outre, à supposer qu’elle ait été débordée, rien ne faisait obstacle à ce que la recourante désigne un mandataire pour la représenter et former une réclamation en temps utile à sa place. Le moyen invoqué par la recourante ne permet donc pas de lui accorder une restitution du délai légal de réclamation.</w:t>
      </w:r>
    </w:p>
    <w:p>
      <w:r>
        <w:rPr>
          <w:b/>
        </w:rPr>
        <w:t>E. 6</w:t>
      </w:r>
    </w:p>
    <w:p>
      <w:r>
        <w:t>Il découle de ce qui précède que le recours ne peut qu’être rejeté, dans la mesure de sa recevabilité,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