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FI.2022.0124 vom 26. September 2022</w:t>
      </w:r>
    </w:p>
    <w:p>
      <w:r>
        <w:t>VD Tribunal cantonal, 2022-09-26, FR</w:t>
      </w:r>
    </w:p>
    <w:p>
      <w:r>
        <w:rPr>
          <w:b/>
        </w:rPr>
        <w:t xml:space="preserve">Quelle: </w:t>
      </w:r>
      <w:r>
        <w:t>https://mcp.opencaselaw.ch/entscheid/vd_omni_FI.2022.0124</w:t>
      </w:r>
    </w:p>
    <w:p>
      <w:r>
        <w:t>FR: VD_OMNI FI.2022.0124 du 26 septembre 2022</w:t>
      </w:r>
    </w:p>
    <w:p>
      <w:r>
        <w:t>IT: VD_OMNI FI.2022.0124 del 26 settembre 2022</w:t>
      </w:r>
    </w:p>
    <w:p>
      <w:pPr>
        <w:pStyle w:val="Heading2"/>
      </w:pPr>
      <w:r>
        <w:t>Regeste</w:t>
      </w:r>
    </w:p>
    <w:p>
      <w:r>
        <w:t>A.________/Administration cantonale des impôts, Administration fédérale des contributions | Confirmation de la décision sur réclamation de l'ACI, déclarant irrecevable la réclamation du recourant, qui, bien qu'informé conformément au principe de la bonne foi de la possibilité de déposer une réclamation en la forme écrite, n'a pas remédié à l'informalité de l'acte initialement adressée par email. Recours rejeté.</w:t>
      </w:r>
    </w:p>
    <w:p>
      <w:pPr>
        <w:pStyle w:val="Heading2"/>
      </w:pPr>
      <w:r>
        <w:t>Erwägungen</w:t>
      </w:r>
    </w:p>
    <w:p>
      <w:r>
        <w:rPr>
          <w:b/>
        </w:rPr>
        <w:t>E. 1</w:t>
      </w:r>
    </w:p>
    <w:p>
      <w:r>
        <w:t>a) Aux termes de l'art. 140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(al. 1); il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(al. 2).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S'agissant des prescriptions formelles, l'art. 79 al. 1 LPA-VD précise que l'acte de recours doit indiquer les motifs et les conclusions du recours; la décision doit par ailleurs être jointe au recours. b) En l'espèce, l'acte du 9 août 2022 a été déposé dans le délai de recours de trente jours auprès de l'ACI et a été transmis à la CDAP comme objet de sa compétence (art. 7 LPA-VD). On peut en revanche se demander s'il satisfait aux exigences de motivation, dans la mesure où les courriers du recourant du 9 août et du 9 septembre 2022 ne contiennent aucun moyen dirigé contre la motivation de la décision entreprise. On se dispensera toutefois d'examiner ce point, le recours devant quoi qu'il en soit être rejeté pour les motifs qui suivent.</w:t>
      </w:r>
    </w:p>
    <w:p>
      <w:r>
        <w:rPr>
          <w:b/>
        </w:rPr>
        <w:t>E. 2</w:t>
      </w:r>
    </w:p>
    <w:p>
      <w:r>
        <w:t>Il convient d'examiner si l'autorité intimée a considéré à juste titre que la réclamation du recourant était tardive. a) L'art. 186 al. 1 LPA-VD et l'art. 132 al. 1 LIFD exigent tous deux que la réclamation soit adressée en la forme écrite à l'autorité de taxation dans les 30 jours. Un acte déposé par voie électronique ne respecte pas l'exigence de la forme écrite posée par les dispositions précitées.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En l'occurrence, l'autorité intimée a considéré à juste titre que le courriel du 16 août 2020 ne constituait pas une réclamation. Bien qu'informé conformément au principe de la bonne foi (ATF 125 I 166 consid. 3a p. 170 et les références; arrêt 5A_741/2016 du 6 décembre 2016 consid. 6.1.1) de la possibilité de déposer une réclamation en la forme écrite, le recourant n'a pas remédié à cette informalité dans le délai de réclamation en adressant à l'autorité intimée un acte recevable contre les décisions de taxation du 21 juillet 2020. Ce n'est en effet que plus d'une année plus tard que le recourant a adressé à l'autorité intimée un courrier satisfaisant à l'exigence de la forme écrite. Au regard de ces éléments, en retenant que la réclamation du 23 août 2021 était tardive et en la déclarant irrecevable, l'ACI n'a pas violé le droit, ni abusé de son pouvoir d'appréciation, le recourant ne faisant pour le surplus valoir aucun motif lui permettant d'obtenir la restitution du délai de réclamation.</w:t>
      </w:r>
    </w:p>
    <w:p>
      <w:r>
        <w:rPr>
          <w:b/>
        </w:rPr>
        <w:t>E. 3</w:t>
      </w:r>
    </w:p>
    <w:p>
      <w:r>
        <w:t>Manifestement mal fondé, le recours doit être rejeté par un arrêt sommairement motivé (art. 82 LPA-VD). Il n'est pas perçu d'émolument (art. 49 et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