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FI.2021.0117 vom 12. Juli 2022</w:t>
      </w:r>
    </w:p>
    <w:p>
      <w:r>
        <w:t>VD Tribunal cantonal, 2022-07-12, FR</w:t>
      </w:r>
    </w:p>
    <w:p>
      <w:r>
        <w:rPr>
          <w:b/>
        </w:rPr>
        <w:t xml:space="preserve">Quelle: </w:t>
      </w:r>
      <w:r>
        <w:t>https://mcp.opencaselaw.ch/entscheid/vd_omni_FI.2021.0117</w:t>
      </w:r>
    </w:p>
    <w:p>
      <w:r>
        <w:t>FR: VD_OMNI FI.2021.0117 du 12 juillet 2022</w:t>
      </w:r>
    </w:p>
    <w:p>
      <w:r>
        <w:t>IT: VD_OMNI FI.2021.0117 del 12 luglio 2022</w:t>
      </w:r>
    </w:p>
    <w:p>
      <w:pPr>
        <w:pStyle w:val="Heading2"/>
      </w:pPr>
      <w:r>
        <w:t>Regeste</w:t>
      </w:r>
    </w:p>
    <w:p>
      <w:r>
        <w:t>A.________, B.________ /Administration cantonale des impôts, Municipalité de Nyon, Service cantonal des contributions du canton du Valais, Commune de Crans-Montana | Confirmation de la décision de l'ACI, fixant le domicile fiscal des recourants dans le Canton de Vaud, lieu d'où le recourant part habituellement travailler durant la semaine. Les liens rattachant les recourants au Canton du Valais ne se distinguent pas de ceux que nouent habituellement les personnes qui y disposent d'une résidence secondaire et y séjournent en fin de semaine. Les recourants ont échoué à démontrer que la situation prévalant jusqu'en fin d'année 2016 avait connu une évolution suffisamment importante pour retenir que le centre de leurs intérêts vitaux s'était déplacé dans le Canton du Valais. Recours rejeté.</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Lorsqu’une personne conteste son assujettissement à l'impôt dans le canton, ce dernier doit, en règle générale, rendre une décision préjudicielle d'assujettissement, fixant le domicile du contribuable, avant de poursuivre la procédure de taxation (ATF 131 I 145 consid. 2.1; TF 2P.192/2006 du 8 janvier 2007 consid. 2; cf. également Daniel de Vries Reilingh, La double imposition intercantonale, 2 e éd., Berne 2013, n°288 p. 96 et les références). En dépit de son caractère préjudiciel, cette décision doit être considérée comme une décision finale au sens de l'art. 74 al. 1 LPA-VD, applicable selon le renvoi de l'art. 99 LPA-VD (cf. arrêt TF 2C_627/2011 du 7 mars 2012 consid. 1.1; art. 18 al. 6 LI; cf. ég. arrêt FI.2018.0134 du 11 novembre 2019 consid. 3e ). Déposé dans le délai de trente jours fixé par l'art. 95 LPA-VD, le recours est intervenu en temps utile. Il respecte au surplus les conditions formelles énoncées à l’art. 79 LPA-VD, également applicable selon le renvoi de l'art. 99 LPA-VD, de sorte qu’il y a lieu d'entrer en matière sur le fond.</w:t>
      </w:r>
    </w:p>
    <w:p>
      <w:r>
        <w:rPr>
          <w:b/>
        </w:rPr>
        <w:t>E. 2</w:t>
      </w:r>
    </w:p>
    <w:p>
      <w:r>
        <w:t>a effectué en Valais des séjours dans le cadre de sa rééducation. Les séjours pour cure ne modifient toutefois en principe pas le lieu de domicile (cf. art.</w:t>
      </w:r>
    </w:p>
    <w:p>
      <w:r>
        <w:rPr>
          <w:b/>
        </w:rPr>
        <w:t>E. 2.1</w:t>
      </w:r>
    </w:p>
    <w:p>
      <w:r>
        <w:t>et les références). Selon les art. 3 LIFD, 3 de la loi fédérale du 14 décembre 1990 sur l'harmonisation des impôts directs des cantons et des communes (LHID; RS 642.14) et 3 LI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cf. également art. 3 al. 2 LHID; ATF 132 I 29 consid. 4.1; 131 I 145 consid. 4.1; voir aussi l'art. 9 de la loi du 5 décembre 1956 sur les impôts communaux [LICom; BLV 650.11], en ce qui concerne l'impôt communal). b) D'après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la personne; dans cette mesure, il n’est pas possible de choisir librement un domicile fiscal (ATF 132 I 29 consid. 4.1; 131 I 145 consid. 4.1). Ainsi, il est nécessaire que ces circonstances puissent être objectivement constatées; les liens d'un contribuable avec l'endroit qu'il allègue être son domicile ne sauraient avoir un simple caractère affectif (arrêts FI.2018.0134 et FI.2018.0135 du 11 novembre 2019 consid. 3f; FI.2017.0092 du 27 septembre 2018 consid. 2c/aa et les références).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(ATF 132 I 29 consid. 4.2; arrêt TF 2C_580/2017 du 16 mars 2018 consid. 4.2).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Dans certaines circonstances exceptionnelles, le domicile fiscal principal pourra toutefois se trouver au lieu de séjour régulièrement fréquenté pendant les fins de semaine et le temps libre (arrêt TF 2C_969/2010 du 3 août 2011 consid. 3.1 et les références citées).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TF 2C_794/2013 du 2 mai 2014 consid. 3.6, 2C_178/2011 du 2 novembre 2011 consid. 3.4; voir aussi arrêt FI.2003.0055 du 26 janvier 2004; cf. également arrêt FI.2017.0016 du 28 août 2017 consid. 4c). Contrairement à ce qui prévaut dans les situations internationales (ATF 138 II 300 consid. 3.3), le domicile fictif de l'art. 24 al. 1 CC – selon lequel toute personne conserve son domicile aussi longtemps qu'elle ne s'en est pas créé un nouveau – ne s'applique pas en cas de changement de domicile à l'intérieur de la Suisse. Si le contribuable a rompu les liens avec son ancien domicile, il n'y est plus assujetti. L'ancien domicile doit néanmoins être considéré comme toujours déterminant lorsque la preuve que celui-ci a été déplacé ne peut être apportée. Pour constituer un nouveau domicile, la volonté de le déplacer n'est pas suffisante. Cette volonté doit se traduire par des actes concrets, c'est à dire que le contribuable doit avoir déplacé le centre de ses intérêts vitaux à cet endroit (arrêts TF 2C_794/2013 du 2 mai 2014 consid. 3.4; 2P.5/2007 du 22 février 2008 consid. 2.2.1; arrêt FI.2015.0101 du 29 février 2016 consid. 4). c)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Selon la jurisprudence, il est toutefois possible d'imposer au contribuable dans les relations intercantonales la preuve de l'assujettissement qu'il prétend avoir dans un nouveau lieu pour autant que l'assujettissement admis par l'autorité fiscale apparaisse comme très probable pour la période fiscale litigieuse. Si la preuve du transfert de domicile n'est pas apportée, l'ancien domicile est supposé comme continuant d'exister (arrêt TF 2C_794/2013 précité consid. 3.4 et réf. citées). d) En l'occurrence, l'autorité intimée a retenu que les recourants, mariés, avaient eu leur domicile fiscal dans le Canton de Vaud pendant plus de 10 ans. En dépit de l'annonce de leur prise de domicile en Valais, les recourants auraient continué à séjourner dans une mesure similaire à Nyon, où ils résidaient majoritairement en semaine et d'où le recourant 1 se rendait à son travail à Genève. Les liens qu'entretiennent les recourants avec Crans-Montana ne différeraient pas de ceux entretenus par des personnes séjournant dans leur résidence secondaire en fin de semaine. L'ACI relève par ailleurs que l'estimation fiscale du bien immobiliers situé à Nyon (1'326'000 fr.), par rapport à celle du bien sis à Crans-Montana (160'858 fr.) démontre également la prééminence du rattachement des recourants au Canton de Vaud. Les recourants soutiennent au contraire que leurs liens avec le Valais doivent être tenus pour prépondérants. e) Il convient d'abord de constater que les recourants ont été assujettis fiscalement à leur domicile de Nyon pendant les périodes fiscales antérieures à 2017. Ils n'ont pas contesté cet assujettissement et aucun élément du dossier ne laisse penser que ce serait à tort que l'autorité intimée aurait considéré que les recourants avaient leur domicile à Nyon pendant cette période. Il en résulte conformément à la jurisprudence précitée qu'il appartient en principe aux recourants d'apporter la preuve d'une modification de leur domicile dans le Canton du Valais à compter du 30 novembre 2016, leur simple déclaration de départ auprès du contrôle des habitants ne suffisant manifestement pas à modifier la charge de la preuve. Il n'est pas contesté par les recourants que le recourant 1 exerce une activité lucrative dépendante à Genève et qu'il résidait de ce fait régulièrement durant la semaine à Nyon pour se rendre à son lieu de travail, activité qu'il exerce à temps complet. Le recourant 1 a certes produit une attestation de son employeur, selon laquelle il est régulièrement en déplacement, notamment auprès de sa clientèle basée à l'étranger et en Suisse, principalement en Valais. On ne peut toutefois rien déduire de cette pièce en ce qui concerne la fréquence des déplacements et l'ampleur que représente le portefeuille de clients du recourant 1 situés en Valais par rapport à ceux qui se trouvent ailleurs en Suisse et à l'étranger. Les recourants n'établissent en outre pas que les modalités d'exercice de l'activité lucrative du recourant 1 auraient connu une évolution déterminante en fin d'année 2016, qui induirait une présence accrue en Valais. Il convient par conséquent de retenir, à l'instar de l'autorité intimée, que le couple séjournait habituellement ensemble, que ce soit à Nyon une partie de la semaine à tout le moins et à Crans-Montana durant les week-ends et les jours fériés. Si les recourants évoquent leur présence soutenue en Valais pour les besoins de la formation de leurs enfants, ils ne remettent pas en cause le fait que leurs deux enfants, alors âgés de 27 et 25 ans, avaient achevé les formations entreprises en Valais et s'étaient tous deux constitués des logements distincts, hors du foyer familial, dès 2017. Les liens que les recourants ont maintenu avec leurs enfants, majeurs depuis longtemps, en fin de semaine ne sauraient revêtir la même portée que lorsque les enfants séjournent continuellement avec leurs parents. Les recourants soutiennent en outre qu'ils apportent une attention particulière à la mère du recourant 1, depuis son veuvage en 2015. Les pièces du dossier ne permettent toutefois pas de retenir que l'intensité de l'aide apportée supposait une présence plus régulière des recourants en Valais en 2017 déjà. La mère du recourant 1 bénéficiait en effet d'une aide à domicile chargée de lui fournir les soins requis. Les preuves produites par les recourants établissent leur implication surtout à compter de l'année 2020, qui correspond d'ailleurs à la vente de leur bien immobilier à Nyon. Le mandat pour cause d'inaptitude et la procuration générale signée en faveur du recourant 1 sont en effet tous deux datés d'août 2020. Les recourants établissent certes l'existence de liens étroits avec le Valais, notamment la fréquentation de médecins et de prestataires de services (coiffeurs, bouchers, commerces), ainsi que la participation à des activités locales (golf, ski, culture) et la fréquentation d'un cercle d'amis importants. Ces liens ne sont toutefois pas considérablement plus intenses que ceux d'une personne qui passe ses fins de semaine et son temps libre dans sa résidence secondaire. Les recourants concèdent également de telles dépenses dans les environs de Nyon, où ils ont consulté des médecins, y ont leur garagiste et recourent aux prestations de service d'un coiffeur. C'est par ailleurs à leur adresse de Nyon que leur étaient communiquées durant les périodes litigieuses les correspondances de leur banque, des CFF, du club de golf, ainsi que de leur assurance, ce qui constitue un indice supplémentaire pour le maintien de la domiciliation à Nyon. En outre, le fait d'être membre actif du club de golf ou de disposer d'un abonnement de ski, activités typiques de loisirs et de weekend, ne distingue pas les recourants d'une personne qui serait en résidence secondaire en Valais. Quant à la qualité des recourants de membre de diverses associations, il ne ressort pas du dossier que celle-ci entraînerait de leur part une implication intense au point de considérer que ces associations prennent plus d'importance dans leur vie que le travail du recourant 1. Les autres pièces du dossier, en particulier les décomptes bancaires et les décomptes d'électricité, ne permettent à première vue pas de mettre en évidence une présence accrue des recourants dans le Canton du Valais par rapport au Canton de Vaud. S'agissant en effet de la répartition des dépenses, l'autorité intimée a pris en compte les éléments suivants, en s'appuyant sur les extraits de comptes produits: - en 2017: les décomptes bancaires font état de dépenses concédées dans le Canton de Vaud 118 jours, respectivement 16 jours dans le Canton de Genève et 93 jours dans le Canton du Valais; - en 2018: les décomptes bancaires font état de dépenses concédées dans le Canton de Vaud 93 jours, respectivement 26 jours dans le Canton de Genève et 95 jours dans le Canton du Valais; - en 2019: les décomptes bancaires font état de dépenses concédées dans le Canton de Vaud 108 jours, respectivement 28 jours dans le Canton de Genève et 100 jours dans le Canton du Valais. Sur cet aspect, les recourants ne remettent pas en cause les observations de l'autorité intimée, qui a procédé à une répartition précise des diverses dépenses des recourants. Ils relèvent toutefois que les décomptes produits illustrent leur absence du canton de Vaud 231 jours en 2017 et 203 jours en 2018, ce qui contredirait l'hypothèse d'une prépondérance des liens avec le Canton de Vaud. Le nombre de transactions effectuées dans le Canton du Valais serait en outre considérablement plus élevé que dans le Canton de Vaud. Les recourants ne sauraient toutefois tirer un quelconque argument du fait qu'aucune dépenses n'a été consentie certains jours de l'année. Cela ne signifie en effet pas encore qu'ils étaient effectivement absents du Canton de Vaud. Peu importe en outre le nombre de transactions journalières, qui ne témoigne pas d'une présence accrue dans l'un ou l'autre canton. Avec l'autorité intimée, il convient en effet d'admettre que le critère du nombre de jours paraît être le plus probant de la présence effective des recourants, soit dans la région de l'arc lémanique, soit dans le Canton du Valais. Or, les observations de l'autorité intimée permettent de confirmer le constat selon lequel les recourants résident généralement en semaine dans l'arc lémanique et en fin de semaine en Valais. Les recourants exposent également que la recourante</w:t>
      </w:r>
    </w:p>
    <w:p>
      <w:r>
        <w:rPr>
          <w:b/>
        </w:rPr>
        <w:t>E. 3</w:t>
      </w:r>
    </w:p>
    <w:p>
      <w:r>
        <w:t>Au vu des considérants qui précèdent, le recours doit être rejeté et la décision attaquée confirmée. Un émolument de 2'000 fr. est mis à la charge des recourants, qui succombent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