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FI.2021.0059 vom 8. Juli 2021</w:t>
      </w:r>
    </w:p>
    <w:p>
      <w:r>
        <w:t>VD Tribunal cantonal, 2021-07-08, FR</w:t>
      </w:r>
    </w:p>
    <w:p>
      <w:r>
        <w:rPr>
          <w:b/>
        </w:rPr>
        <w:t xml:space="preserve">Quelle: </w:t>
      </w:r>
      <w:r>
        <w:t>https://mcp.opencaselaw.ch/entscheid/vd_omni_FI.2021.0059</w:t>
      </w:r>
    </w:p>
    <w:p>
      <w:r>
        <w:t>FR: VD_OMNI FI.2021.0059 du 8 juillet 2021</w:t>
      </w:r>
    </w:p>
    <w:p>
      <w:r>
        <w:t>IT: VD_OMNI FI.2021.0059 del 8 luglio 2021</w:t>
      </w:r>
    </w:p>
    <w:p>
      <w:pPr>
        <w:pStyle w:val="Heading2"/>
      </w:pPr>
      <w:r>
        <w:t>Regeste</w:t>
      </w:r>
    </w:p>
    <w:p>
      <w:r>
        <w:t>A.________ /Administration cantonale des impôts, Office d'impôt des districts de Nyon et Morges, Administration fédérale des contributions, B.________, C.________ | Recours irrecevable car prématuré, la recourante n'ayant pas épuisé la voie de la réclamation.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L’office d’impôt est l’autorité de taxation des personnes physiques (art. 152 al. 1 let. a de la loi du 4 juillet 2000 sur les impôts directs cantonaux [LI]; BLV 642.11). Les décisions qu’il rend peuvent faire l’objet d’une réclamation (art. 132 al. 1 de la loi fédérale du 14 décembre 1990 sur l'impôt fédéral direct [LIFD]; RS 642.11 et 185 LI). Celle-ci est adressée à l’autorité de taxation (art. 132 al. 1 LIFD et 186 al. 1 LI), laquelle détermine à nouveau les éléments imposables (art. 186 al. 1 LI). Lorsqu’elle ne peut liquider le cas - notamment lorsque le contribuable n’accepte pas les éléments imposables - l’autorité de taxation transmet le dossier, avec son rapport, à l’ACI (art. 187 al. 3 LI). Celle-ci tranche la réclamation (art. 187 LI). Sa décision est attaquable devant le Tribunal cantonal (art. 199 LI, mis en relation avec les art. 5 et 92 al. 1 LPA-VD). b) En l’espèce, la recourante a directement saisi le Tribunal d'un recours contre la décision de taxation du 22 avril 2021, mais a également déposé une réclamation à son encontre – réclamation dont la recevabilité a été admise par l'ACI, comme cette dernière l'a précisé dans ses déterminations du 3 juin 2021, de sorte qu'il n'y a pas lieu de faire droit à la requête de la recourante tendant à la suspension de la présente procédure jusqu'à droit connu sur ce point (cf. art. 25 LPA-VD). Il suit de là que, pour ce qui a trait du recours qu'elle a déposé devant la CDAP, la recourante a omis d'épuiser la voie de la réclamation, qui constitue le préalable obligé au recours. Son recours est partant prématuré, et doit donc être déclaré irrecevable.</w:t>
      </w:r>
    </w:p>
    <w:p>
      <w:r>
        <w:rPr>
          <w:b/>
        </w:rPr>
        <w:t>E. 2</w:t>
      </w:r>
    </w:p>
    <w:p>
      <w:r>
        <w:t>Il résulte de ce qui précède que le recours doit être déclaré irrecevable. Il se justifie de statuer sans frais, ni dépens (art. 49, 55 et 91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