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FI.2020.0158 vom 4. Juni 2021</w:t>
      </w:r>
    </w:p>
    <w:p>
      <w:r>
        <w:t>VD Tribunal cantonal, 2021-06-04, FR</w:t>
      </w:r>
    </w:p>
    <w:p>
      <w:r>
        <w:rPr>
          <w:b/>
        </w:rPr>
        <w:t xml:space="preserve">Quelle: </w:t>
      </w:r>
      <w:r>
        <w:t>https://mcp.opencaselaw.ch/entscheid/vd_omni_FI.2020.0158</w:t>
      </w:r>
    </w:p>
    <w:p>
      <w:r>
        <w:t>FR: VD_OMNI FI.2020.0158 du 4 juin 2021</w:t>
      </w:r>
    </w:p>
    <w:p>
      <w:r>
        <w:t>IT: VD_OMNI FI.2020.0158 del 4 giugno 2021</w:t>
      </w:r>
    </w:p>
    <w:p>
      <w:pPr>
        <w:pStyle w:val="Heading2"/>
      </w:pPr>
      <w:r>
        <w:t>Regeste</w:t>
      </w:r>
    </w:p>
    <w:p>
      <w:r>
        <w:t>A.________ /Administration cantonale des impôts, Administration fédérale des contributions | Qualification de l'indemnité que la recourante a perçue de son ancien employeur à la suite de la procédure pour licenciement abusif qu'elle a introduite à son encontre et qui a abouti à un accord transactionnel. Versement à titre de réparation morale au sens des art. 24 let. g LIFD et 28 let. h LI ou indemnité obtenue lors de la cessation des rapports de travail au sens des art. 23 let. c LIFD et 27 let. c LI? L'absence d'un jugement entré en force constatant un congé abusif (art. 336 et 336a CO) n'exclut pas par principe l'application des art. 24 let. g LIFD et 28 let. h LI. Le bénéfice de l'exonération vaut également, si, comme dans le cas particulier, des éléments suffisamment probants permettent d'établir que des montants versés par transactions - qu'elles soient judiciaires ou extrajudiciaires - constituent des indemnités dues à ce titre. Recours admis. Recours de l'ACI au TF rejeté (arrêt 2C_546/2021 du 31 octobre 2022).</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l'indemnité nette de 25'000 fr. que la recourante a perçue de son ancien employeur à la suite de la procédure qu'elle a engagée contre lui est imposable ou non.</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FI.2020.0008 du 16 mars 2021 consid. 3 ; FI.2019.0177/178 du 8 septembre 2020 consid. 4 et FI.2018.0074 du 22 novembre 2018 consid. 2).</w:t>
      </w:r>
    </w:p>
    <w:p>
      <w:r>
        <w:rPr>
          <w:b/>
        </w:rPr>
        <w:t>E. 4</w:t>
      </w:r>
    </w:p>
    <w:p>
      <w:r>
        <w:t>ème éd., Berne 2019, p. 830 ss et la jurisprudence citée). On relèvera encore que, contrairement à ce que l'autorité intimée laisse entendre dans ses écritures, l'absence de jugement entré en force constatant un congé abusif (art. 336 et 336a CO) ou un licenciement immédiat injustifié (art. 337 et 337c CO) n'exclut pas par principe l'application des art. 24 let. g LIFD et 28 let. h LI. Le bénéfice de l'exonération vaut en effet également, si, comme en l'occurrence, des éléments suffisamment probants permettent d'établir que des versements prévus par transactions – qu'elles soient judiciaires ou extrajudiciaires – constituent des indemnités dues à ce titre. En conséquence, c'est à tort que l'autorité intimée a imposé le montant de 25'000 fr. que la recourante a reçu de son ancien employeur sur la base de la transaction du 15 août 2017.</w:t>
      </w:r>
    </w:p>
    <w:p>
      <w:r>
        <w:rPr>
          <w:b/>
        </w:rPr>
        <w:t>E. 5</w:t>
      </w:r>
    </w:p>
    <w:p>
      <w:r>
        <w:t>Les considérants qui précèdent conduisent à l'admission du recours et à l'annulation de la décision attaquée. La cause sera renvoyée à l'autorité intimée pour qu'elle détermine à nouveau le revenu imposable de la recourante pour la période fiscale 2017, en tenant compte du fait que le montant de 25'000 fr. doit être exonéré conformément aux art. 24 let. g LIFD et 28 let. h LI, ainsi que les montants de l'impôt cantonal et communal et de l'impôt fédéral direct dus. Vu l'issue du litige, l'arrêt est rendu sans frais (art. 49 al. 1 et 52 al. 1 LPA-VD). La recourante, qui a procédé par l'intermédiaire d'un mandataire professionnel, a droit par ailleurs à l'allocation de dépens, à la charge de l'autorité intimée (art. 55 al. 1 LPA-VD). Compte tenu de la nature de la cause et du travail accompli, ceux-ci peuvent être fixés à un montant de 1'500 fr., débours compris (art. 11 du Tarif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