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FI.2020.0106 vom 20. Oktober 2021</w:t>
      </w:r>
    </w:p>
    <w:p>
      <w:r>
        <w:t>VD Tribunal cantonal, 2021-10-20, FR</w:t>
      </w:r>
    </w:p>
    <w:p>
      <w:r>
        <w:rPr>
          <w:b/>
        </w:rPr>
        <w:t xml:space="preserve">Quelle: </w:t>
      </w:r>
      <w:r>
        <w:t>https://mcp.opencaselaw.ch/entscheid/vd_omni_FI.2020.0106</w:t>
      </w:r>
    </w:p>
    <w:p>
      <w:r>
        <w:t>FR: VD_OMNI FI.2020.0106 du 20 octobre 2021</w:t>
      </w:r>
    </w:p>
    <w:p>
      <w:r>
        <w:t>IT: VD_OMNI FI.2020.0106 del 20 ottobre 2021</w:t>
      </w:r>
    </w:p>
    <w:p>
      <w:pPr>
        <w:pStyle w:val="Heading2"/>
      </w:pPr>
      <w:r>
        <w:t>Regeste</w:t>
      </w:r>
    </w:p>
    <w:p>
      <w:r>
        <w:t>A.________, B.________/Administration cantonale des impôts, Administration fédérale des contributions | La société, dont les recourants détenaient l'intégralité des parts, a indûment grevé son bénéfice en acquittant des dettes dues par des sociétés affiliées en faveur de la raison individuelle du recourant. L'augmentation, dans cette mesure, du compte courant créancier actionnaire doit être qualifiée de prestation appréciable en argent et reprise dans le revenu imposable des recourants. Les recourants ne sauraient en outre se prévaloir, après le dépôt de la déclaration d'impôt, de l'amortissement d'un actif de la raison individuelle, dont la justification commerciale n'a pas été établie.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des reprises opérées sur le revenu des recourants,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notion de prestation appréciable en argent au sens de l' art. 20 al. 1 let . c LIFD est identique à celle prévue à l' art. 23 al. 1 let . c LI et correspond à l' art. 7 al. 1 LHID . La jurisprudence rendue en matière d'impôt fédéral direct est également valable pour l'application des dispositions cantonales harmonisées correspondantes (ATF 140 II 88 consid. 10 p. 101; arrêt TF 2C_98/2019 du 23 septembre 2019 consid. 7).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Il convient d'examiner si l'autorité intimée était fondée à reprendre à titre de revenu, dans le chef des recourants, la prestation appréciable consentie par la société dont ils étaient détenteurs de parts. a)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Selon la jurisprudence, il y a distribution dissimulée de bénéfice constitutive de prestation appréciable en argent lorsque quatre conditions cumulatives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p. 443s. ; 143 IV 228 consid. 4.1 p. 231 ; 140 II 88 consid. 4.1 p. 92 et les arrêts cités). En application de l'approche économique qui prévaut en la matière, les faits doivent être appréciés non seulement du point de vue de leur forme de droit civil, mais également du point de vue de leur contenu réel, en particulier économique ( ATF 138 II 57 consid. 2 p. 59).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arrêt TF 2C_927/2013 du 21 mai 2014 consid. 5.4, in RDAF 2014 II 463). Cependant, une fois qu'un fait est tenu pour établi, la question du fardeau de la preuve ne se pose plus (ATF 137 III 226 consid. 4.3 p. 235; arrêt TF 2C_445/2015 du 26 août 2016 consid. 7.1).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TF 2C_886/2020 du 23 novembre 2020 consid. 3.2.1 ; 2C_16/2015 du 6 août 2015 consid. 2.3.4). b) En l’occurrence, la reprise effectuée par l’ACI dans le revenu imposable des contribuables a trait à l’augmentation de 100'000 fr. du compte courant créancier actionnaire par l’intermédiaire d’un compte de charges dans la comptabilité de la société. La société a en effet comptabilisé le 31 décembre 2014 une écriture intitulée « prêt » impactant le débit d’un compte de charges (5900 Amortissements) et le crédit d’un compte de passif (2250 Actionnaire) pour un montant de 100'000 fr. Les recourants contestent avoir bénéficié d’une prestation appréciable en argent. Dans le cadre de la procédure concernant la société D.________, les contribuables ont expliqué dans un premier temps que les opérations comptables enregistrées avaient pour but de radier la société H.________ et d’assainir G.________. La lecture comparée de la comptabilité de la raison individuelle de C.________ et de la comptabilité de la société D.________ conduit à retenir que l’écriture litigieuse, intitulée « prêt », devait vraisemblablement permettre à C.________ de recouvrer les créances qu’il détenait à l’encontre des sociétés filles de D.________, soit H.________ et G.________, qui ont toutes deux déposé le bilan en 2010, respectivement en début d’année 2015. Le droit suisse ne connaissant pas le principe de l’imposition de groupe, les opérations entre sociétés d'un même groupe doivent intervenir comme si elles étaient effectuées entre tiers dans un environnement de libre concurrence (ATF 140 II 88 consid. 4 et 4.1 p. 92 s. et les références; 138 II 57 consid. 2.2 p. 59 s.). On ne saurait dans ces circonstances admettre que la société holding assume une quelconque solidarité dans le paiement des dettes de ses filiales. L’autorité intimée a dès lors considéré à juste titre que les contribuables devaient assumer les pertes résultant des prêts consentis à titre personnel en faveur des sociétés H.________ et G.________. Dans le cadre de leur recours, les recourants ne contestent d’ailleurs plus que la société D.________ a grevé sans motif son résultat d’un montant de 100'000 fr. en assumant des dettes dues par des sociétés affiliées en faveur de la raison individuelle de C.________. Tout au plus font-ils valoir que les différentes sociétés étaient « très imbriquées », se fondant sur un état des comptes au 31 décembre 2010 entre la raison individuelle et les différentes sociétés du groupe. On ne voit pas ce que ce document, qui n’a aucune valeur officielle, est supposé établir. Il se rapporte en effet à une période bien antérieure à celle qui fait l’objet du présent litige et comprend des postes qui ne se recoupent avec aucune des pièces comptables figurant au dossier. Un tel document ne saurait dès lors établir la nature des relations entre C.________ et les différentes sociétés du groupe. On ne voit en particulier pas que cette pièce permette de prouver que C.________ ait pris en charge à titre personnel des frais qui incombaient à D.________ en raison de ses engagements à l’égard d’H.________ et de G.________. Dans le cadre de la procédure de réclamation, les recourants ont produit de nouveaux comptes de la raison individuelle. Ils admettent que la raison individuelle a réalisé un produit de 100'000 fr., mais qui doit selon eux être compensé par un amortissement du poste débiteurs à hauteur de 128'092 francs. Il convient ainsi d’examiner si les recourants pouvaient, après le dépôt de leur déclaration d’impôt, procéder à l’amortissement d’un actif de la raison individuelle. c) Selon l' art. 58 al. 1 LIFD , applicable par analogie aux contribuables indépendants qui tiennent une comptabilité en bonne et due forme (cf. art. 18 al. 3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144 II 427 consid. 6.5.1 p. 447 ; 141 II 83 consid. 3.1 et les références; arrêts TF 2C_132/2020 du 26 novembre 2020 consid. 7.2; 2C_495/2017 du 27 mai 2019 consid. 7.2.1). Selon ce principe , le contribuable est lié à la situation patrimoniale de la période fiscale, telle qu'elle ressort des livres de compte régulièrement établis (arrêt TF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(arrêts TF 2C_857/2020 du 11 février 2021 consid. 4.1; 2C_490/2016 du 25 août 2017 consid. 5.1 et les références). La correction du bilan, qui tend à substituer une comptabilisation contraire au droit commercial, se distingue de la modification de bilan, qui consiste à remplacer une comptabilisation conforme au droit commercial par une autre également correcte. Des modifications de bilan ne peuvent être effectuées que jusqu'au dépôt de la déclaration d'impôt (arrêt TF 2C_576/2020 du 17 août 2020 consid. 2.2.1 et les références citées). Durant la procédure de taxation, elles ne peuvent en principe être effectuées que s'il apparaît que le contribuable s'est mépris, de manière excusable, sur les conséquences fiscales de certaines comptabilisations. Sont en principe exclues les modifications de bilan en cours de procédure de taxation qui sont effectuées aux seules fins de réaliser une économie d’impôt (ATF 141 II 83 consid. 3.4 p. 87; arrêt TF 2C_576/2020 du 17 août 2020 consid. 2.2.1 et les références citées). La question se pose de savoir si l’amortissement des créances était justifié par l’usage commercial (cf. art. 58 al. 1 let. b en relation avec l’art. 18 al. 3 LIFD ; art. 94 al. 1 let. b LI en relation avec l’art. 21 al. 3 LI). d) Les amortissements des actifs justifiés par l'usage commercial sont autorisés, à condition que ceux-ci soient comptabilisés ou, à défaut d'une comptabilité tenue selon l'usage commercial, qu'ils apparaissent dans un plan spécial d'amortissements (art. 62 al. 1 LIFD). Un amortissement est justifié par l'usage commercial dans la mesure où il permet de tenir compte d'une véritable moins-value d'un poste au bilan (ATF 137 II 353 consid. 6.4.1 p. 361; arrêts TF 2C_132/2020 du 26 novembre 2020 consid. 8.2.1; 2C_520/2015 du 28 décembre 2015 consid. 3.2). En vertu de l' art. 960 al. 2 CO , la valeur de tous les éléments de l'actif ne peut figurer au bilan pour un chiffre dépassant celui qu'ils représentent pour l'entreprise à la date du bilan . En matière d'évaluation des actifs, un des principes les plus importants est celui de la prudence (pour la société anonyme, cf. art. 662a al. 2 ch. 3 CO ). Il implique que, dans le doute, les comptes seront présentés sous la forme la moins favorable à l'entreprise (ATF 136 II 88 consid. 5.3 p. 98), compte tenu de la marge d'incertitude et des limites légales fixées au pouvoir d'appréciation (ATF 115 Ib 55 consid. 5b p. 59 s.). Le risque de perte sur une créance résulte principalement de la solvabilité douteuse du débiteur (ATF 115 Ib 55 consid. 5b p. 60 et les références citées; Robert Danon, in Noël/Aubry Girardin [éd], Commentaire romand, Impôt fédéral direct, Bâle 2017, n° 30 ad art. 63 LIFD ). Lorsqu'un risque de perte est admis sur une créance, une provision sur débiteur (ou ducroire) doit obligatoirement être enregistrée dans les comptes (ATF 115 Ib 55 consid. 6a p. 63, confirmé en matière fiscale in: arrêts TF 2A.55/2007 du 6 juillet 2007 consid. 4.2; 2A.99/2004 du 27 octobre 2004, in: RF 60/2005 p. 117, consid. 4.2 et 4.3; cf. aussi: arrêts TF 2C_788/2010 du 18 mai 2011 consid. 4.2; 2C_392/2009 du 23 août 2010 consid. 2.2, in: RDAF 2011 II 70). Le principe de la périodicité doit de manière générale être appliqué et s'opposer, du point de vue fiscal, à la comptabilisation tardive de corrections au bilan. Cela étant, l'on ne peut pas, dans l'absolu, refuser de tenir compte sur le plan fiscal d'un amortissement extraordinaire lié à une créance devenue irrécupérable au seul motif que le contribuable a auparavant omis de provisionner cette créance alors que son recouvrement n'était qu'incertain. En effet, dans le cadre de la marge d'appréciation comptable dont doit pouvoir bénéficier le contribuable pour évaluer certains risques de pertes, un tel refus s'avérerait contraire à l'imposition selon la capacité économique. En revanche, le respect du principe de la périodicité, qui imprègne tant le droit comptable que le droit fiscal, impose de ne tenir compte fiscalement des amortissements litigieux que s'ils sont comptabilisés durant la période où le créancier devait de bonne foi admettre que la dette était devenue durablement irrécupérable (ATF 137 II 353 consid. 6.4.5 p. 365). Ce sont les circonstances d'espèce qui doivent permettre d'établir à partir de quel moment le contribuable en cause savait ou ne pouvait plus ignorer que la créance litigieuse était devenue irrécupérable de façon durable, de sorte à devoir opérer un amortissement. En présence de créances portant sur des débiteurs à court de liquidités, toute la difficulté vient de ce qu'à moins d'un événement précis, il est difficile de déterminer à partir de quel moment une créance passe du stade de douteuse à celui d'impossible à recouvrer sur le long terme. Dans de telles situations, il faut que le moment choisi par le contribuable pour amortir sa créance soit justifiable et ne trahisse pas un objectif purement fiscal. Un amortissement extraordinaire ne sera ainsi pas pris en compte fiscalement s'il n'existe plus de lien suffisant avec la perte de valeur à son origine (ATF 137 II 353 consid. 6.4.5 p. 365). Conformément au principe général exprimé à l'art. 8 CC, il appartient à l'autorité fiscale de démontrer l'existence d'éléments créant ou augmentant la charge fiscale, alors qu'il incombe au contribuable d'apporter la preuve des faits de nature à réduire ou éteindre son obligation fiscale (cf. ATF 143 II 661 consid. 7.2 p. 672; 140 II 248 consid. 3.5 p. 252; 133 II 153 consid. 4.3 p. 158; 121 II 257 consid. 4c/aa p. 266). e) En l’occurrence, les recourants exposent que les créances qu’ils détenaient par le biais de la raison individuelle à l’égard de diverses sociétés du groupe ne pouvaient plus être recouvrées, raison pour laquelle elles devaient être amorties. S’il n’est pas contesté que les sociétés H.________ et G.________ ont été dissoutes en 2010, respectivement 2015, avec pour conséquence une possible insolvabilité de ces sociétés, les recourants ne s’appuient toutefois sur aucune pièce permettant de documenter la nature et l’origine des créances en question. Ils n’établissent pas non plus pour quelle raison leur éventuel amortissement s’impose au cours de l’exercice 2014, de sorte qu’il est impossible de déterminer sa justification commerciale durant la période en question. Dans ces circonstances, on ne saurait admettre le besoin d’amortissement des créances en question durant la période fiscale 2014, les recourants supportant l’absence de preuve d’un fait susceptible de réduire leur charge fiscale. Il s’ensuit que l’autorité intimée a refusé à juste titre d’admettre la justification commerciale de l’amortissement effectué dans les comptes de la raison individuelle, ce d’autant plus que ledit amortissement résulte d’une modification du bilan apportée par les contribuables en cours de procédure de taxation et aux seules fins d’une économie d’impôt, ce qui n’est pas admissible.</w:t>
      </w:r>
    </w:p>
    <w:p>
      <w:r>
        <w:rPr>
          <w:b/>
        </w:rPr>
        <w:t>E. 4</w:t>
      </w:r>
    </w:p>
    <w:p>
      <w:r>
        <w:t>Il suit de ce qui précède que le recours, mal fondé, doit être rejeté. Un émolument de 2'500 fr. est mis à la charge des recourants, qui succombent (cf. art. 144 al. 1 et 5 LIFD, art. 49 al. 1, 91 et 99 LPA-VD; art. 1 et 2 du tarif des frais judiciaires et des dépens en matière administrative, du 28 avril 2015 [TFJDA; BLV 173.36.5.1]), solidairement entre eux (cf. art. 51 al. 2 LPA-VD).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