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FI.2020.0098 vom 13. Juli 2021</w:t>
      </w:r>
    </w:p>
    <w:p>
      <w:r>
        <w:t>VD Tribunal cantonal, 2021-07-13, FR</w:t>
      </w:r>
    </w:p>
    <w:p>
      <w:r>
        <w:rPr>
          <w:b/>
        </w:rPr>
        <w:t xml:space="preserve">Quelle: </w:t>
      </w:r>
      <w:r>
        <w:t>https://mcp.opencaselaw.ch/entscheid/vd_omni_FI.2020.0098</w:t>
      </w:r>
    </w:p>
    <w:p>
      <w:r>
        <w:t>FR: VD_OMNI FI.2020.0098 du 13 juillet 2021</w:t>
      </w:r>
    </w:p>
    <w:p>
      <w:r>
        <w:t>IT: VD_OMNI FI.2020.0098 del 13 luglio 2021</w:t>
      </w:r>
    </w:p>
    <w:p>
      <w:pPr>
        <w:pStyle w:val="Heading2"/>
      </w:pPr>
      <w:r>
        <w:t>Regeste</w:t>
      </w:r>
    </w:p>
    <w:p>
      <w:r>
        <w:t>A.________/Administration cantonale des impôts, Municipalité de Montreux, Municipalité de Monthey, Service cantonal des contributions du canton du Valais | L’autorité fiscale pouvait à bon droit présumer que le domicile fiscal d'une contribuable célibataire est au lieu où, dans le canton, elle réside durant la semaine, où elle loue un appartement et à partir duquel elle se rend chaque jour à son travail et non au lieu, situé dans un canton voisin, où vivent ses parents, où elle possède une chambre dans leur appartement et où elle retourne régulièrement. Les considérations subjectives présentées par la recourante ne permettent pas de faire passer à l’arrière-plan les constatations objectives selon lesquelles c’est à partir du lieu où elle habite dans le canton qu’elle exerce son activité lucrative, de sorte que le centre de ses intérêts vitaux se situe bien à cet endroit. Rejet du recours et confirmation de la décision attaquée.</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(arrêt du Tribunal fédéral 2P.212/2002 du 19 mai 2003, consid. 1.2). c )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de la CDAP FI.2012.0066 du 1 er février 2013).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Masmejan-Fey/Lucien Masmejan, Commentaire de la loi vaudoise sur les impôts directs, ad art. 3 LI , n° 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4.1 p. 35/36; 125 I 54 consid. 2 p. 56; Archives 63, 836; 62, 443; 57, 519; v. également Peter Locher, Steuerharmonisierung und interkantonales Steuerrecht, in : Archives 65, p. 609 et ss, not. 617-618) .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arrêts TF 2C_854/2013 du 12 février 2014 consid. 5.1, 2C_92/2012 du 17 août 2012 consid. 4.2, in : RF 67/2012 p. 833; 2C_918/2011 du 12 avril 2012 consid. 3.2). cc) S'agissant de contribuables célibataires,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En pareilles circonstances, la durée des rapports de travail et l'âge du contribuable ont une importance particulière. Le Tribunal fédéral considère ainsi que les relations du contribuable célibataire (et qui ne vit pas en concubinage) avec ses parents sont en général moins étroites, lorsque celui-ci a plus de trente ans et/ou qu'il réside sur son lieu de travail de manière ininterrompue depuis plus de cinq ans (cf. arrêts TF 2C_994/2019 du 8 juin 2020 consid. 6.3; 2C_87/2019 du 17 juillet 2019 consid. 3.2.2; 2C_296/2018 du 6 juin 2018 consid. 2.2.3; 2C_311/2014 du 30 avril 2015 consid. 2.2 in fine; 2C_270/2012 du 1er décembre 2012 consid. 2.5; 2C_26/2012 du 8 mai 2012 consid. 3.2 in fine; 2C_518/2011 du 1 er février 2012 consid. 2.1; 2C_397/2010 du 6 décembre 2010 consid. 2.2 in fine). En présence d'un contribuable de plus de trente ans qui exerce une activité lucrative dépendante, on présume - indépendamment de la durée de son séjour sur son lieu de travail - qu'il a son domicile fiscal principal au lieu où il réside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TF 2C_994/2019 du 8 juin 2020 consid. 6.3; 2C_87/2019 du 17 juillet 2019 consid. 3.2.2; 2C_296/2018 du 6 juin 2018 consid. 2.2.3; 2C_1045/2016 du 3 août 2017 consid. 3.4; 2C_854/2013 du 12 février 2014 consid. 5.1; 2C_250/2012 du 29 août 2013 consid. 2.3, in StE 2013 A 24.21 Nr. 27; 2C_518/2011 du 1 er février 2012 consid. 2.2; 2C_397/2010 du 6 décembre 2010 consid. 2.3, in : RDAF 2011 II 127, cf. en outre Martin Zweifel/Silvia Hunziker, in : Zweifel/Beusch/de Vries Reilingh [édit.], Interkantonales Steuerrecht, 2 e éd. Bâle 2021, § 6 N. 38, N. 100; Peter Locher, Einführung in das interkantonale Steuerrecht,</w:t>
      </w:r>
    </w:p>
    <w:p>
      <w:r>
        <w:rPr>
          <w:b/>
        </w:rPr>
        <w:t>E. 4</w:t>
      </w:r>
    </w:p>
    <w:p>
      <w:r>
        <w:t>Au vu des considérants qui précèdent, le recours doit être rejeté et la décision attaquée, confirmée. La recourante succombant, un émolument judiciaire sera mis à sa charge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