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FI.2020.0039 vom 8. Juli 2021</w:t>
      </w:r>
    </w:p>
    <w:p>
      <w:r>
        <w:t>VD Tribunal cantonal, 2021-07-08, FR</w:t>
      </w:r>
    </w:p>
    <w:p>
      <w:r>
        <w:rPr>
          <w:b/>
        </w:rPr>
        <w:t xml:space="preserve">Quelle: </w:t>
      </w:r>
      <w:r>
        <w:t>https://mcp.opencaselaw.ch/entscheid/vd_omni_FI.2020.0039</w:t>
      </w:r>
    </w:p>
    <w:p>
      <w:r>
        <w:t>FR: VD_OMNI FI.2020.0039 du 8 juillet 2021</w:t>
      </w:r>
    </w:p>
    <w:p>
      <w:r>
        <w:t>IT: VD_OMNI FI.2020.0039 del 8 luglio 2021</w:t>
      </w:r>
    </w:p>
    <w:p>
      <w:pPr>
        <w:pStyle w:val="Heading2"/>
      </w:pPr>
      <w:r>
        <w:t>Regeste</w:t>
      </w:r>
    </w:p>
    <w:p>
      <w:r>
        <w:t>A.________ /Administration cantonale des impôts, Administration fédérale des contributions, Office d'impôt des districts de La Riviera-Pays-d'Enhaut, Lavaux-Oron | Qualification des gains réalisés par le recourant à la suite de la vente d'immeubles dont il était copropriétaire. La constitution d'une société simple (par actes concluants), l'intention manifeste de réaliser un gain (même survenue postérieurement à l'acquisition des immeubles), le financement exclusivement à l'aide de fonds étrangers, l'absence d'utilisation effective des biens concernés par le recourant et le caractère planifié de l'opération (un des copropriétaires des immeubles vendus ayant par ailleurs déployé une activité soutenue dans le domaine de l'achat et de la vente d'immeubles) constituent autant d'indices plaidant en faveur d'une activité lucrative indépendante dépassant la simple administration de la fortune privée; au vu des circonstances, la durée de possession des immeubles, à supposer même qu'elle doive être qualifiée de longue, ne saurait suffire à remettre en cause ce constat. Les gains réalisés doivent en conséquence être qualifiés de bénéfice commercial soumis à l'impôt sur le revenu.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art.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TF 2C_660/2014, 2C_661/2014 du 6 juillet 2015 consid. 1.1.2; CDAP FI.2020.0090 du 7 janvier 2021 consid. 2 et les références).</w:t>
      </w:r>
    </w:p>
    <w:p>
      <w:r>
        <w:rPr>
          <w:b/>
        </w:rPr>
        <w:t>E. 3</w:t>
      </w:r>
    </w:p>
    <w:p>
      <w:r>
        <w:t>Le litige porte sur la qualification du gain réalisé par le recourant à la suite de la vente en 2012 des parcelles de Nyon - étant précisé d'emblée que le montant retenu à ce titre n'est pas en tant que tel contesté. L'autorité intimée a en substance retenu que ce gain était constitutif d'un revenu imposable provenant d'une activité indépendante; le recourant soutient qu'il s'agit bien plutôt d'une plus-value relevant de la fortune privée, qui doit être soumise à l'impôt spécial sur le gain immobilier à l'exclusion de tout impôt sur le revenu. a) Selon l'art. 16 LIFD, l'impôt sur le revenu a pour objet tous les revenus du contribuable, qu'ils soient uniques ou périodiques (al. 1); les gains en capital réalisés lors de l'aliénation d'éléments de la fortune privée ne sont pas imposables (al. 3). L'art. 7 de la loi fédérale du 14 décembre 1990 sur l'harmonisation des impôts directs des cantons et des communes (LHID; RS 642.14) définit l'impôt sur le revenu de façon similaire (al. 1) et prévoit que sont exonérés de cet impôt notamment les gains en capital réalisés sur des éléments de la fortune privée du contribuable, l’art. 12 al. 2 let. a et d étant réservé (al. 4 let. b). En droit vaudois, l'art. 19 al. 3 LI prévoit que ne sont pas imposables les gains en capital réalisés lors de l'aliénation d'éléments de la fortune " mobilière " privée; sous cette réserve, l'art. 19 LI a la même teneur que l'art. 16 LIFD. aa) S'agissant du " produit de l'activité lucrative indépendante ", il résulte des art. 18 LIFD respectivement 21 LI que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(al. 2). bb) Consacré à l'impôt sur les gains immobiliers, l'art. 12 LHID (dont les let. a et d de l'al. 2 sont réservées par l'art. 7 al.</w:t>
      </w:r>
    </w:p>
    <w:p>
      <w:r>
        <w:rPr>
          <w:b/>
        </w:rPr>
        <w:t>E. 4</w:t>
      </w:r>
    </w:p>
    <w:p>
      <w:r>
        <w:t>Il résulte des considérants qui précèdent que le recours doit être rejeté et la décision sur réclamation attaquée confirmée. Un émolument de 3'000 fr. est mis à la charge du recourant,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