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FI.2019.0183 vom 4. Dezember 2020</w:t>
      </w:r>
    </w:p>
    <w:p>
      <w:r>
        <w:t>VD Tribunal cantonal, 2020-12-04, FR</w:t>
      </w:r>
    </w:p>
    <w:p>
      <w:r>
        <w:rPr>
          <w:b/>
        </w:rPr>
        <w:t xml:space="preserve">Quelle: </w:t>
      </w:r>
      <w:r>
        <w:t>https://mcp.opencaselaw.ch/entscheid/vd_omni_FI.2019.0183</w:t>
      </w:r>
    </w:p>
    <w:p>
      <w:r>
        <w:t>FR: VD_OMNI FI.2019.0183 du 4 décembre 2020</w:t>
      </w:r>
    </w:p>
    <w:p>
      <w:r>
        <w:t>IT: VD_OMNI FI.2019.0183 del 4 dicembre 2020</w:t>
      </w:r>
    </w:p>
    <w:p>
      <w:pPr>
        <w:pStyle w:val="Heading2"/>
      </w:pPr>
      <w:r>
        <w:t>Regeste</w:t>
      </w:r>
    </w:p>
    <w:p>
      <w:r>
        <w:t>A.________/Administration cantonale des impôts, Administration fédérale des contributions, Office d'impôt des personnes morales | Pour déterminer la part des frais non justifiés commercialement, l'autorité intimée pouvait appliquer un ratio tenant compte du nombre de véhicules utiles à la société, rapporté au nombre total des plaques d'immatriculation apparaissant dans la comptabilité de la société. Le ratio retenu doit être toutefois modifié, les recourants ayant apporté la preuve que cinq véhicules étaient utiles à l'entreprise sur les neuf en cause, de sorte que la part privée à comptabiliser pour toutes les périodes fiscales litigieuses est de 4/9 de l'ensemble des frais de véhicule. Reformatio in pejus de la décision attaquée s'agissant de la période fiscale en cause. Recours au TF déclaré irrecevable (2C_11/2021 du 8 janvier 2021).</w:t>
      </w:r>
    </w:p>
    <w:p>
      <w:pPr>
        <w:pStyle w:val="Heading2"/>
      </w:pPr>
      <w:r>
        <w:t>Erwägungen</w:t>
      </w:r>
    </w:p>
    <w:p>
      <w:r>
        <w:rPr>
          <w:b/>
        </w:rPr>
        <w:t>E. 1</w:t>
      </w:r>
    </w:p>
    <w:p>
      <w:r>
        <w:t>La recourante sollicite l’audition, en qualité de témoin, de son actionnaire, ainsi que de deux employés de la société. a) Le droit d'être entendu découlant des art. 29 al.</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notion de prestation appréciable en argent en matière d'ICC, et partant l'application de la théorie du triangle , est traitée de manière identique à celle qui prévaut en matière d'IFD.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3</w:t>
      </w:r>
    </w:p>
    <w:p>
      <w:r>
        <w:t>p. 85; 137 II 353 consid. 6.2 p. 359 s.). L'art. 58 al. 1 let. b LIFD constitue une telle règle fiscale correctrice (cf. arrêt TF 2C_766/2014 du 31 août 2015 consid. 9). Selon cette disposition, le bénéfice net imposable comprend tous les prélèvements opérés sur le résultat commercial avant le calcul du solde du compte de résultats, qui ne servent pas à couvrir des dépenses justifiées par l'usage commercial. L'art. 58 al. 1 let. b LIFD dresse une liste exemplative des éléments dont la déduction n'est pas admise. En font notamment partie les distributions ouvertes ou dissimulées de bénéfice et les avantages procurés à des tiers qui ne sont pas justifiés par l'usage commercial (art. 58 al. 1 let. b 5e tiret LIFD). Selon la jurisprudence, sont justifiées par l'usage commercial les dépenses qui apparaissent comme acceptables du point de vue commercial (cf. ATF 142 II 488 consid. 3.6.8 p. 503; 124 II 29 consid. 3c p. 33; 113 lb 114 consid. 2c p. 118 s.; arrêt 2C_509/2019 du 3 octobre 2019 consid. 4.3).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qui ne servent qu'à l'entretien de l'actionnaire ou à son propre plaisir. Dans ce cas, la société grève indûment son compte de résultats en prenant à sa charge des dépenses privées sous couvert de frais commerciaux (cf. arrêts TF 2C_509/2019 du 3 octobre 2019 consid. 4.3; 2C_124/2016 du 31 janvier 2017 consid. 6.1 et les arrêts cités; 2C_697/2014 du 1 er mai 2015 consid. 2.2, in RDAF 2016 II 413). Lorsque des frais s'expliquent pour des raisons en partie commerciales, en partie privées, il faut procéder à une répartition entre une part commerciale et une part privée (cf. arrêts TF 2C_509/2019 du 3 octobre 2019 consid. 4.3; 2C_374/2014 du 30 juillet 2015 consid. 2.3, in RDAF 2016 II 70). L'estimation de la part privée relève du pouvoir d'appréciation de l'autorité de taxation, qui peut retenir des solutions forfaitaires (cf. Yves Noël, in Commentaire romand, Impôt fédéral direct, Noël/ Aubry Girardin [édit.], 2 e éd., 2017, n° 28 ad art. 27 LIFD). De jurisprudence constante,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En ce qui concerne le fardeau de la preuve et selon le principe général de l'art. 8 CC, il appartient à l'autorité fiscale d'établir les faits qui justifient l'assujettissement et qui augmentent la taxation, tandis que le contribuable doit prouver les faits qui diminuent la dette fiscale ou la suppriment (cf. ATF 140 II 248 consid.</w:t>
      </w:r>
    </w:p>
    <w:p>
      <w:r>
        <w:rPr>
          <w:b/>
        </w:rPr>
        <w:t>E. 3.5</w:t>
      </w:r>
    </w:p>
    <w:p>
      <w:r>
        <w:t>p. 252; 121 II 257 consid. 4c) aa) p. 266). C'est partant à la société qui fait valoir une dépense d'apporter la preuve de son existence, ainsi que de sa justification commerciale (arrêts TF 2C_232/2015 du 20 août 2015 consid. 5.1; 2C_697/2014 du 1 er mai 2015 consid. 2.3).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(cf. arrêts TF 2C_124/2016 du 31 janvier 2017 consid. 6.2; 2C_589/2013 du 17 janvier 2014 consid. 7.2; 2C_60/2013 du 14 août 2013 consid. 6.1; 2C_567/2012 du 15 mars 2013 consid. 6.3). b)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(art. 58 al. 1 lit. b LIFD, a contrario; art. 94 al. 1 let. b de la loi vaudoise sur les impôts directs cantonaux du 4 juillet 2000 [LI; BLV 642.11], a contrario). Il appartient dans cette situation au contribuable de prouver que tous les frais comptabilisés ont effectivement été assumés à titre professionnel. La mise à disposition d’un véhicule de l’entreprise à l’actionnaire ou à un proche de celui-ci implique en contrepartie la comptabilisation d’une part privée. En pareil cas, lorsque la reprise dans les comptes de l’entreprise d'une part privée sur les frais de véhicules de l'entreprise se justifie, il a été admis que l’autorité fiscale puisse se conformer à sa pratique en reprenant un montant correspondant selon la norme TVA à 12% du prix d'achat des véhicules (arrêt FI.2014.0080 du 28 octobre 2015 consid. 7d et les références citées). c) Le Tribunal cantonal a en l’occurrence déjà constaté ce qui suit, s’agissant des frais de véhicules comptabilisés par la recourante (arrêt FI.2016.0118 du 5 avril 2019 consid. 5b et 5c): « b) En l'occurrence, il n'est pas contesté par la recourante que des frais privés ont été comptabilisés, notamment pour ce qui concerne les frais de réparation des véhicules (compte 4240). Elle admet en effet spontanément que seuls 826 fr. 50 sur un total de 1'454 fr. 80 en 2006 sont justifiés commercialement. L'ampleur de la confusion entre frais privés et frais justifiés par l'usage commercial permet déjà de mettre sérieusement en doute la valeur de la comptabilité de la recourante. On peut également s'étonner du fait que la recourante ait pris à sa charge les frais de réparation des véhicules qu'elle loue, ce qui ne paraît pas correspondre à l'usage commercial. S'agissant des frais comptabilisés à titre de carburant et huile (compte 4210) et de pneumatique (compte 4220), la recourante ne conteste pas non plus le bien-fondé d'une reprise en relation avec des charges qui ne sont pas justifiées commercialement. Plutôt que l'application d'un ratio tel que calculé par l'autorité intimée, la recourante demande que les coûts y relatifs soient ventilés en fonction des kilomètres parcourus par les véhicules. La recourante a fourni à cet égard des indications permettant d'établir le nombre de kilomètres parcourus chaque année par les véhicules figurant à l'inventaire. Dès lors que tous les véhicules utilisés par la société disposent de plaques interchangeables avec des véhicules utilisés à titre privé, dont on ignore le kilométrage, il n'est pas possible de déterminer objectivement la part des frais privés et commerciaux. Compte tenu en outre de la faible valeur probante qu'il convient d'attribuer à la comptabilité de la recourante, on ne saurait retenir que l'intégralité des frais comptabilisés dans les comptes 4210 et 4220 est justifiée commercialement. Dans ces circonstances, l'application d'un ratio, comme l'a fait l'autorité intimée, paraît justifiée. Le même raisonnement peut s'appliquer, s'agissant des assurances, ce que la recourante admet d'ailleurs, du fait de l'impossibilité d'évaluer le surcoût lié à l'interchangeabilité de la plaque. Pour établir le ratio applicable, l'autorité intimée s'est référée au nombre total de plaques d'immatriculation apparaissant dans la comptabilité de la recourante, soit neuf. Elle a rapporté cette valeur au nombre d'immatriculations correspondant à des véhicules dont l'utilisation commerciale avait pu être démontrée. Cette manière de procéder, même si elle apparaît très schématique, doit être confirmée. On ne saurait, à l'instar de la recourante, faire grief à l'autorité intimée de s'être attachée aux immatriculations, plutôt qu'aux véhicules pris individuellement. Compte tenu de l'interchangeabilité de la majorité des plaques d'immatriculation avec des véhicules privés et en l'absence de toute indication fournie par la recourante en relation avec l'utilisation de ces véhicules privés, l'autorité intimée n'avait en effet d'autre choix, pour estimer le montant des parts privées à comptabiliser, que de s'appuyer sur les seules données dont elle avait connaissance. Reste à examiner si le ratio retenu par l'autorité intimée est justifié, s'agissant de la seule période fiscale 2006 qui fait encore l'objet du présent litige. c) Pour déterminer le nombre de véhicules présentant une utilité commerciale, l'autorité intimée s'est appuyée sur l'inventaire des véhicules fourni par la recourante dans le cadre de la procédure de réclamation. Ce document, qui répertorie la flotte de véhicules de l'entreprise et leur kilométrage au 31 décembre de chaque année, paraît constituer une base relativement fiable pour déterminer l'utilité commerciale des véhicules qui y figurent. Hormis la Mercedes SLK 200, exclusivement utilisée à des fins privées, tous les véhicules mentionnés dans l'inventaire sont en effet des utilitaires, avec caisse isothermique ou isolation thermique. Il convient dès lors de présumer qu'ils sont effectivement affectés au but de la société recourante, dont l'activité, durant les périodes fiscales litigieuses, portait majoritairement sur le transport de poisson. Le seul fait que ces véhicules soient immatriculés au nom de l'actionnaire de la société ou de l'un des membres de sa famille ne permet pas de renverser cette présomption. Il est en revanche exclu de prendre en considération les véhicules privés Opel Vectra et Opel Omega break, qui ne figurent pas à l'inventaire et dont l'utilité commerciale n'a nullement été démontrée. Ainsi que le relève à juste titre la recourante, il convient toutefois d'ajouter à cette liste le véhicule Mercedes 310 D (pour les périodes 2004 à 2008, avant son rachat par la société), et le véhicule Ford Transit 280 S (pour les périodes 2009 et 2010). Ces véhicules étant loués à l'actionnaire, respectivement à son épouse, il est normal qu'ils ne figurent pas à l'inventaire des véhicules dont la société est propriétaire. La recourante avait toutefois à en assumer les coûts de fonctionnement, de sorte qu'il apparaît justifié que leur utilisation grève le résultat de la recourante. L'autorité intimée était en revanche fondée à retrancher de la liste des véhicules fournie par la recourante ceux qui n'ont pas circulé durant l'année prise en considération. Même s'il s'agissait, comme le soutient la recourante, de véhicules de dépannage conservant une utilité commerciale, le fait qu'ils bénéficient de plaques interchangeables avec des véhicules privés conforte dans l'idée que leur utilité commerciale était minime. On doit en revanche admettre la possibilité, pour la recourante, de démontrer que les indications figurant dans l'inventaire sont erronées et lui permettre de prouver l'effectivité de l'utilisation commerciale d'un véhicule. » Dans le cadre de l’arrêt 2C_484/2019 du 6 novembre 2019, le Tribunal fédéral a confirmé l’arrêt cantonal, dans la mesure où il concernait les périodes fiscales 2004, 2005, 2007, 2008, 2009 et 2010. Aux considérants 7.3 et 7.4 de son arrêt, il a en particulier confirmé que l’utilisation d’une méthode schématique retenant le principe d’un ratio pour déterminer les frais justifiés ou non commercialement et l’application de ce ratio à l’ensemble des frais de véhicules comptabilisés par la recourante devait être confirmées. On ne discerne pas pour quelle raison cette conclusion ne devrait pas trouver application s’agissant de la période fiscale 2006. Dans ces circonstances, il n’y a pas de motif de s’écarter de la méthode précédemment utilisée pour déterminer les frais non justifiés commercialement. Il convient ainsi uniquement d’examiner si le ratio établi pour la période fiscale 2006 doit être confirmé. d) Pour la période fiscale 2006, l'autorité intimée a exclu la prise en compte du véhicule Mercedes 307 D (immatriculé VD ********), au motif qu'il n'avait parcouru aucun kilomètre en 2006. Elle a considéré que, sur les sept plaques d'immatriculation répertoriées à l'inventaire, six pouvaient être considérées comme étant justifiées commercialement. La recourante n'est pas parvenue à démontrer que le véhicule Mercedes 307 D avait roulé en 2006, ni son utilisation en tant que frigo de dépannage, l'inventaire précisant expressément que le véhicule est hors d'usage. Les conclusions du rapport d’inspection technique de ce véhicule attestent uniquement que celui-ci est en état de circuler. Cela ne signifie pas encore qu’il était effectivement utilisé. On ne peut pour le surplus considérer que le témoignage écrit de F.________, établi près de quinze ans plus tard, permette de remettre en cause ce constat, la valeur probante de l’inventaire étant manifestement supérieure. L'inventaire fait également ressortir que les véhicules Mercedes 309 D (immatriculé VD ********) et Mitsubishi L300 (immatriculé VD ********) n'ont effectué aucun kilomètre en 2006, de sorte que l'utilité commerciale de ces deux immatriculations peut également être niée. Les pièces nouvelles produites par la recourante ne permettent pas d’établir le contraire. Le paiement des taxes d’inspection technique et des taxes de circulation ne constituent pas une preuve du fait que ces véhicules ont roulé en 2006. Il en va de même de l’extrait du cahier de travail de l’employé de la recourante, qui illustre seulement des travaux entrepris par ce dernier sur ce véhicule et non son utilisation effective dans le cadre de l’activité de la recourante. On relèvera, par surabondance, que la taxe automobile 2006 concernant les véhicules Mercedes 312D et 307D montre que ces deux utilitaires bénéficiaient en réalité (contrairement aux indications ressortant de l’inventaire produit par la recourante) d’un jeu de plaques interchangeables. Dès lors que l’utilité commerciale du véhicule Mercedes 312D a été admise, il importe peu que celle-ci soit également reconnue pour le véhicule Mercedes 307D. La recourante ne saurait en outre tirer argument des inventaires qu’elle avait initialement produits, et qui sont contredits par les inventaires remis dans le cadre de la procédure pendante auprès du Tribunal cantonal. En tenant compte du véhicule en location Mercedes 310 D, le nombre d'immatriculations pouvant être rattachées à des véhicules dont l'utilité commerciale est démontrée se monte dès lors à cinq, en lieu et place des six retenues par l'autorité intimée. e) La recourante conteste l'application de ce ratio à l'ensemble des frais de véhicules qu'elle a comptabilisés. Ses reproches concernent principalement les frais de réparation, qui, dès lors qu'ils peuvent être rattachés aisément à chaque véhicule figurant à l'inventaire, devraient être déduits des frais totaux. Ces remarques, certes non dénuées de fondement, ne sont pas déterminantes. A suivre la recourante, il faudrait en effet appliquer un ratio différent pour tenir compte des particularités inhérentes à chaque compte. La nécessité d'établir un ratio tient précisément au fait que la majorité des charges comptabilisées ne peuvent être identifiées comme étant privées ou commerciales. L'autorité intimée était fondée, par mesure de simplification, d'appliquer un ratio à l'ensemble des frais de véhicules comptabilisés. Si les parts privées ainsi établies, rapportées au nombre de kilomètres supposés parcourus, paraissent élevées, il ne faut pas perdre de vue que deux personnes au moins (soit l'actionnaire de la société et son épouse) ont bénéficié de la comptabilisation de certains frais privés qu'ils avaient à assumer. Le décès de l’un des fils de l’actionnaire de la recourante au début de l’année 2006 n’y change rien, de même que le fait que son épouse ait été temporairement dans l’incapacité de conduire un véhicule automobile pour des raisons de santé. Dans la mesure où la recourante n’a pas pu démontrer la justification commerciale des charges dont elle revendique la déduction de son bénéfice imposable, elle échoue à établir l’existence d’un fait dont elle a la charge de la preuve. f) Il n'est enfin pas contesté par la recourante que la prise en charge de certains frais privés a directement profité à son actionnaire ou à ses proches. La reprise doit dès lors être confirmée dans son principe, le dossier étant renvoyé à l'autorité intimée pour qu'elle établisse un nouveau calcul de l'impôt, tenant compte d'un ratio de 4/9e appliqué aux frais de véhicules à titre de part privée, 5/9e des frais comptabilisés étant considérés comme justifiés commercialement.</w:t>
      </w:r>
    </w:p>
    <w:p>
      <w:r>
        <w:rPr>
          <w:b/>
        </w:rPr>
        <w:t>E. 4</w:t>
      </w:r>
    </w:p>
    <w:p>
      <w:r>
        <w:t>a) Conformément à l'art. 143 al. 1 LIFD, la commission cantonale de recours prend sa décision après instruction du recours. Après avoir entendu le contribuable, elle peut également modifier la taxation au désavantage de ce dernier. L'art. 89 al. 2 et 3 de la loi vaudoise sur la procédure administrative du 28 octobre 2008 (LPA-VD; BLV 173.36) prévoit que l'autorité peut modifier la décision à l'avantage ou au détriment du recourant, mais que, dans ce dernier cas, elle l'en informe et lui impartit un délai pour se déterminer ou pour retirer son recours. L'obligation, pour l'autorité de recours qui envisage de procéder à une  reformatio in pejus de la décision attaquée, d'avertir le recourant de son intention et de lui donner l'occasion de s'exprimer résulte directement de la garantie constitutionnelle du droit d'être entendu ( ATF 122 V 166 consid. 2a p. 167). Conformément à la jurisprudence, cette obligation s'applique chaque fois que l'autorité de recours entend modifier la décision attaquée devant elle au détriment du contribuable, sans égard aux raisons de la modification envisagée (cf. arrêt TF 2A.403/2002 du 24 mars 2003 consid. 2.2, in RDAF 2003 II 369 [à propos de l'art. 143 al. 1 LIFD]). b) En l’occurrence, la recourante a été dûment avertie de l’intention du Tribunal cantonal de procéder à une reformatio in pejus de la décision attaquée. La recourante a eu l’occasion de s’exprimer à ce sujet et de retirer son recours. Elle a confirmé vouloir maintenir son recours.</w:t>
      </w:r>
    </w:p>
    <w:p>
      <w:r>
        <w:rPr>
          <w:b/>
        </w:rPr>
        <w:t>E. 5</w:t>
      </w:r>
    </w:p>
    <w:p>
      <w:r>
        <w:t>Le recours, dans la mesure où il porte sur la période fiscale 2006, doit être rejeté. La décision attaquée est réformée en défaveur de la contribuable, en ce sens que la reprise des frais non justifiés par l'usage commercial correspond à un ratio de 4/9e des charges comptabilisées à titre de "frais de véhicule". La cause doit être ainsi renvoyée à l’autorité intimée, pour qu’elle procède à une nouvelle détermination des éléments imposables de la recourante en tenant compte de la modification de cette reprise. La répartition des frais et dépens, telle qu’elle ressort de l’arrêt rendu dans la cause FI.2016.0118, est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