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FI.2019.0177 vom 8. September 2020</w:t>
      </w:r>
    </w:p>
    <w:p>
      <w:r>
        <w:t>VD Tribunal cantonal, 2020-09-08, FR</w:t>
      </w:r>
    </w:p>
    <w:p>
      <w:r>
        <w:rPr>
          <w:b/>
        </w:rPr>
        <w:t xml:space="preserve">Quelle: </w:t>
      </w:r>
      <w:r>
        <w:t>https://mcp.opencaselaw.ch/entscheid/vd_omni_FI.2019.0177</w:t>
      </w:r>
    </w:p>
    <w:p>
      <w:r>
        <w:t>FR: VD_OMNI FI.2019.0177 du 8 septembre 2020</w:t>
      </w:r>
    </w:p>
    <w:p>
      <w:r>
        <w:t>IT: VD_OMNI FI.2019.0177 del 8 settembre 2020</w:t>
      </w:r>
    </w:p>
    <w:p>
      <w:pPr>
        <w:pStyle w:val="Heading2"/>
      </w:pPr>
      <w:r>
        <w:t>Regeste</w:t>
      </w:r>
    </w:p>
    <w:p>
      <w:r>
        <w:t>A.________, B.________/Administration cantonale des impôts, Administration fédérale des contributions | Rappels d'impôts et soustractions fiscales. Employé qui a bénéficié chaque mois de 2007 à 2012, en sus de son salaire, d'une rémunération complémentaire versée en espèce qu'il ne déclarait pas. Les preuves recueillies par l'ACI durant la procédure, en particulier les informations transmises par l'employeur du recourant qui a fait l'objet d'une enquête parallèle (cause FI.2016.0013), apportent suffisamment d'indices de l'existence de ces rémunérations. Sur le plan pénal fiscal, la faute commise doit être qualifiée de moyenne et le coefficient de 1 retenu confirmé. Recours rejetés.</w:t>
      </w:r>
    </w:p>
    <w:p>
      <w:pPr>
        <w:pStyle w:val="Heading2"/>
      </w:pPr>
      <w:r>
        <w:t>Erwägungen</w:t>
      </w:r>
    </w:p>
    <w:p>
      <w:r>
        <w:rPr>
          <w:b/>
        </w:rPr>
        <w:t>E. 1</w:t>
      </w:r>
    </w:p>
    <w:p>
      <w:r>
        <w:t>Déposés dans le délai de trente jours fixé par l'art. 95 de la loi vaudoise du 28 octobre 2008 sur la procédure administrative (LPA-VD; BLV 173.36), les recours sont intervenus en temps utile. Ils respectent au surplus les conditions formelles énoncées à l'art. 79 LPA-VD. Il y a donc lieu d'entrer en matière.</w:t>
      </w:r>
    </w:p>
    <w:p>
      <w:r>
        <w:rPr>
          <w:b/>
        </w:rPr>
        <w:t>E. 2</w:t>
      </w:r>
    </w:p>
    <w:p>
      <w:r>
        <w:t>Le litige porte d'une part sur les reprises opérées par l'ACI dans le revenu du recourant pour les périodes fiscales 2007 à 2010, respectivement des recourants pour les périodes fiscales 2011 et 2012, et d'autre part sur les amendes prononcées pour soustraction fiscale.</w:t>
      </w:r>
    </w:p>
    <w:p>
      <w:r>
        <w:rPr>
          <w:b/>
        </w:rPr>
        <w:t>E. 3</w:t>
      </w:r>
    </w:p>
    <w:p>
      <w:r>
        <w:t>En tant qu'il protège le droit de l'accusé de ne pas s'incriminer lui-même (selon l'adage "nemo tenetur se ipsum accusare vel procedere" ), l'art. 6 de la Convention européenne de sauvegarde des droits de l'homme et des libertés fondamentales du</w:t>
      </w:r>
    </w:p>
    <w:p>
      <w:r>
        <w:rPr>
          <w:b/>
        </w:rPr>
        <w:t>E. 3.2</w:t>
      </w:r>
    </w:p>
    <w:p>
      <w:r>
        <w:t>et 3.3). Les éléments principaux à prendre en considération sont le montant de l'impôt éludé, la manière de procéder, les motivations, ainsi que les circonstances personnelles et économiques de l'auteur (ATF 144 IV 136 consid. 7.2.2; TF 2C_180/2013 du 5 novembre 2013 consid. 9.1; TF 2C_851/2011 précité consid. 3.3 et les références). Les circonstances atténuantes de l'art. 48 CP sont aussi applicables par analogie en droit pénal fiscal (cf. TF 2C_1157/2016 du 2 novembre 2017 consid. 6.2; 2C_180/2013 précité consid. 9.1; 2C_851/2011 précité consid. 3.3 et les références). La peine "ordinaire" – qui correspond au montant de l'impôt soustrait – est généralement prononcée lorsque l'acte punissable a été commis intentionnellement, en l'absence de circonstances aggravantes ou de circonstances atténuantes.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ou encore lorsque la soustraction d'impôt s'étend sur plusieurs années et s'effectue selon différents procédés. Quant à la faute légère, elle peut exister dans les cas de circonstances atténuantes mentionnées à l'art. 48 CP. L'attitude coopérative du contribuable lors de l'établissement des faits doit être appréciée sous l'angle d'une atténuation de la faute (arrêt FI.2017.0052 du 10 octobre 2017 consid. 4b et les références citées; ég. Pietro Sansonetti/Danielle Hostettler, in Commentaire romand, Impôt fédéral direct, 2 ème éd., Bâle 2017, ad art. 175 n. 46 ss). c) En l'espèce, il a été tenu pour établi que le recourant avait bénéficié chaque mois de 2007 à 2012, en sus de son salaire, d'une rémunération complémentaire versée en espèce qu'il ne déclarait pas (cf. supra consid. 5). Il ne pouvait pas ignorer que les revenus qu'il annonçait dans ses déclarations d'impôt personnelles et celles du couple étaient erronés, de sorte qu'il faut admettre qu'il a agi intentionnellement dans le but d'obtenir une taxation moins élevée. Les éléments objectif et subjectif de la soustraction sont dès lors manifestement réalisés. Il reste à examiner la quotité des amendes prononcées. Dans l'appréciation de la faute, il convient de tenir compte à la charge du recourant que les revenus qu'il n'a pas déclarés représentent plus de 40% de sa rémunération totale (302'971 fr. sur un total de 737'565 fr.), ce qui est conséquent. A cela s'ajoute que l'activité incriminée s'est étendue sur six années (neuf années si l'on prend en considération les périodes fiscales 2004 à 2006, qui n'ont pas pu donner lieu à des rappels d'impôt en raison de la prescription) et se serait poursuivie, si le système parallèle mis en place par son employeur n'avait pas été découvert. Pour l'ensemble des périodes litigieuses, l'impôt soustrait s'élève à 83'855 fr. 50. En faveur de l'intéressé, il faut mentionner l'absence d'antécédent en matière pénale fiscale et sa bonne collaboration. C'est en vain en revanche que le recourant invoque sa situation d'employé à titre de circonstance atténuante (art. 48 let. a ch. 4 CP), dans la mesure où il a accepté en toute connaissance de cause de participer au système mis en place par son employeur et en a tiré personnellement des avantages pendant plusieurs années. En ce qui concerne la situation personnelle de l'intéressé, on relève qu'il est marié, a deux enfants et travaille toujours pour le compte de la société C.________ SA. S'il ne faut pas négliger l'impact que les amendes prononcées auront sur sa situation économique et celle du couple, il devrait néanmoins être en mesure de s'en acquitter, au besoin au moyen de facilités de paiement. En définitive, il apparaît que les éléments en faveur et en défaveur du recourant se contrebalancent. L'autorité intimée n'a dès lors pas violé le droit ou abusé de son pouvoir d'appréciation en qualifiant la faute de l'intéressé de moyenne et en retenant un coefficient de 1, qui correspond à celui appliqué au cas ordinaire (art. 176 al. 2 LIFD en relation avec l'art. 175 al. 2 LIFD; art. 243 al. 2 LI en relation avec l'art. 242 al. 2 LI). Les amendes prononcées seront dès lors également confirmées.</w:t>
      </w:r>
    </w:p>
    <w:p>
      <w:r>
        <w:rPr>
          <w:b/>
        </w:rPr>
        <w:t>E. 4</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 autres arrêts FI.2018.0074 du 22 novembre 2018 consid. 2; FI.2016.0037 du 16 décembre 2016 consid. 2 et FI.2015.0069 du 11 juillet 2016 consid. 2).</w:t>
      </w:r>
    </w:p>
    <w:p>
      <w:r>
        <w:rPr>
          <w:b/>
        </w:rPr>
        <w:t>E. 5</w:t>
      </w:r>
    </w:p>
    <w:p>
      <w:r>
        <w:t>a) Selon les art. 151 al. 1 de la loi fédérale du 14 décembre 1990 sur l'imp. fédéral direct (LIFD; RS 642.11), 53 al. 1 de la loi fédérale du 14 décembre 1990 sur l'harmonisation des impôts directs des cantons et des communes (LHID; RS 642.14), et 207 al. 1 de la loi vaudoise du 4 juillet 2000 sur les impôts directs cantonaux (LI; BLV 642.11), dont les teneurs sont identiques,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est le pendant, en faveur du fisc, de la révision en faveur du contribuable (cf. TF 2C_640/2010 du 11 décembre 2010 consid. 4.3). Cette procédure porte sur la perception d'impôts qui n'ont pas pu être prélevés par l'administration cantonale au cours de la taxation ordinaire (ATF 144 II 359 consid. 4.5.1 p. 364; TF 2C_676/2016 du 5 décembre 2017 consid. 4.1; TF 2C_662/2014 du 25 avril 2015 consid. 6.3 et les références citées). b) En droit fédéral comme en droit cantonal, l'impôt sur le revenu a pour objet tous les revenus du contribuable, qu'ils soient uniques ou périodiques (art. 16 al. 1 LIFD, 7 al. 1 LHID et 19 al. 1 LI). Sont notamment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1 LIFD et 20 al. 1 LI). En matière fiscale, les règles générales du fardeau de la preuve ancrées à l' art. 8 CC ,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146 II 6 consid. 4.2; 144 II 427 consid. 8.3.1; 140 II 248 consid. 3.5 et les références citées). Ainsi,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ég. TF 2C_722/2017 du 13 décembre 2017 consid. 5.2; 2C_1201/2012 du 16 mai 2013 consid. 4.6; 2C_514/2009 du 25 mars 2010 consid. 3.2 et les références citées). Le fait qu'il lui incombe alors d'apporter la contre-preuve n'est pas contraire au droit pénal fiscal (cf. Richner/Frei/Kaufmann/Meuter, Handkommentar zum DBG, 3 ème éd., Zurich 2016, n. 128 ad art. 182; Sieber/Malla, in: Zweifel/Beusch [éd.], Bundesgestz über des direkte Bundessteuer, 3 ème éd., Bâle 2017, n. 45 ad art. 182). c) En l'espèce, l'ACI s'est fondée sur les éléments et documents recueillis dans le cadre de la procédure instruite à l'encontre de la société C.________ SA, qui a révélé l'existence d'une activité parallèle et clandestine, pour retenir que le recourant avait bénéficié chaque mois de 2007 à 2012, en sus de son salaire, d'une rémunération complémentaire versée en espèce pour un montant total de 302'971 fr. qu'il ne déclarait pas. Elle s'est appuyée en particulier sur les tableaux établis par l'employeur de l'intéressé, qui précisaient pour chaque employé et pour chaque mois le nombre d'heures de travail total, le salaire horaire appliqué, le salaire "ordinaire" versé, ainsi que les frais remboursés. Les recourants remettent en cause la valeur probante de ces documents et des rapports d'heures figurant au dossier, soulignant notamment qu'ils ont été établis après coup par la société C.________ SA pour servir ses intérêts dans le cadre de la procédure dont elle faisait l'objet. Ils se plaignent à cet égard d'une constatation inexacte des faits et d'une violation des règles sur le fardeau de la preuve. Comme l'ACI l'a exposé dans ses écritures et ainsi que cela ressort de l'arrêt FI.2016.0013 du 14 novembre 2017, la société C.________ SA a dans un premier temps produit dans le cadre de la procédure ouverte à son encontre uniquement des relevés des compléments de salaire versés. Ce n'est qu'au stade de la procédure de recours devant le Tribunal cantonal qu'elle a finalement accepté de dévoilé l'identité des employés bénéficiaires, précisant également tous les éléments ayant permis de calculer ces charges revendiquées en déduction de son bénéfice imposable (heures de travail, salaire horaire, salaire déclaré). Certes, elle avait assurément un intérêt à fournir ces renseignements et à ce que les chiffres concordent avec ceux qu'elle avait invoqués jusqu'alors. Cela ne signifie toutefois pas que les tableaux produits seraient dépourvus de toute valeur probante. Visiblement, la société C.________ SA tenait une comptabilité parallèle ou à tout le moins un décompte des versements en espèce effectués, ce qui lui a permis de reconstituer pour chaque collaborateur les heures de travail non déclarées effectuées et les rémunérations versées de main en main. A l'exception du recourant, tous les autres employés visés par des procédures identiques ont confirmé l'exactitude des chiffres ressortant des tableaux établis, reconnu avoir perçu les montants en question et accepté les rappels d'impôt prononcés. Il est peu vraisemblable que l'intéressé soit le seul qui ait été chargé sans fondement par son employeur et qui n'ait pas participé au système mis en place. Si tel avait été le cas, on ne comprend pas pourquoi il serait resté au service de la société C.________ SA, alors qu'il risque, par la faute de cette dernière selon sa version des faits, de devoir payer un peu plus de 150'000 fr. à titre de rappels d'impôt et d'amendes pour soustraction fiscale. Quant aux rapports d'heures tant décriés par le recourant, il est possible qu'ils aient été établis après coup, probablement ici encore sur la base de la comptabilité parallèle ou du décompte que la société C.________ SA tenait. Il n'en demeure pas moins que les heures mentionnées dans ces documents se recoupent avec celles des tableaux des rémunérations non déclarées que le recourant est le seul employé à remettre en cause. L'examen des comptes bancaires du recourant parle également en faveur de l'existence de compléments de salaire non déclarés. Les relevés produits laissent en effet apparaître durant les périodes litigieuses de nombreuses entrées en espèce, totalisant un peu plus de 120'000 francs. En transmettant ces pièces, le recourant a d'ailleurs spontanément reconnu qu'il n'avait pas d'explications sur la provenance de ces fonds et qu'il serait disposé à admettre que les versements en question correspondaient à des rémunérations que son employeur lui aurait versées de main en main, ce qui fait l'objet de ses conclusions subsidiaires. Certes, les montants sont sensiblement inférieurs à ceux résultant des tableaux établis par la société C.________ SA. Ils prouvent néanmoins et quoi qu'en dise le recourant sa participation au système mis en place par son employeur pour échapper notamment à l'impôt sur une grande partie de son chiffre d'affaires. L'évolution du salaire annuel du recourant accrédite aussi l'état de fait retenu par l'autorité intimée. Il est passé de 102'311 fr. à 146'875 fr. entre 2012 et 2013, année de l'ouverture de la procédure à l'encontre de la société C.________ SA. Or, si l'on tient compte du complément de salaire que le recourant aurait perçu en 2012, les salaires de 2012 et 2013 sont comparables. Interpellé, l'intéressé n'a du reste pas été en mesure d'expliquer l'augmentation conséquente de salaire dont il aurait bénéficié (près de 50%), se limitant à relever qu'il appréciait son emploi. Par ailleurs, dans un système mis en place pour dissimuler une partie de l'activité et échapper ainsi à l'impôt, le non-respect des prescriptions de la loi fédérale du 13 mars 1964 sur le travail dans l'industrie, l'artisanat et le commerce (LTr; RS 822.11) en matière de durée du travail n'est guère surprenant. A tout le moins, cet élément ne saurait remettre en cause les chiffres résultant des rapports d'heures établis par la société C.________ SA, qui font état de charges de travail importantes (jusqu'à plus de 250 heures par mois), mais néanmoins crédibles. Au regard de ces différents éléments, il convient d'admettre que les preuves recueillies par l'ACI durant la procédure de rappel d'impôt et de soustraction apportent suffisamment d'indices de l'existence de salaires non déclarés. Conformément aux règles sur le fardeau de la preuve rappelées ci-dessus, il appartient dès lors au recourant d'établir l'exactitude de ses allégations et d'en supporter les conséquences en cas d'échec. Or, l'intéressé n'a apporté aucun élément de preuve dans le cadre de la présente procédure, se limitant à nier avoir reçu les compléments de salaire faisant l'objet de la procédure en rappel d'impôt et soustraction ouverte à son encontre et à remettre en cause la valeur probante des pièces sur lesquelles l'ACI s'est fondée. Les reprises opérées dans le revenu déclaré du recourant pour les périodes fiscales 2007 à 2010, respectivement de celui des recourants pour les périodes fiscales 2011 et 2012, seront dès lors confirmées.</w:t>
      </w:r>
    </w:p>
    <w:p>
      <w:r>
        <w:rPr>
          <w:b/>
        </w:rPr>
        <w:t>E. 6</w:t>
      </w:r>
    </w:p>
    <w:p>
      <w:r>
        <w:t>a) Selon les art. 175 al. 1 LIFD, 56 al. 1 LHID et 242 al. 2 LI, dont les teneurs sont identiques, se rend coupable de soustraction fiscale le contribuable qui, intentionnellement ou par négligence, aura fait en sorte qu'une taxation ne soit pas effectuée alors qu'elle aurait dû l'être ou qu'une taxation entrée en force soit incomplète. Pour qu'une soustraction fiscale au sens de ces dispositions soit réalisée, trois éléments doivent dès lors être réunis: la soustraction d'un montant d'impôt; la violation d'une obligation légale incombant au contribuable, en particulier l'obligation de remplir une déclaration d'impôt conforme à la vérité et complète (art. 124 al. 2 LIFD et 173 al. 1 LI; cf. TF 2C_276/2014 du 22 janvier 2015 consid. 4.1; 2C_528/2011 du 17 janvier 2012 consid. 2); ainsi que la faute de ce dernier (TF 2C_664/2008 du 4 février 2009 consid. 2, non publié in ATF 135 II 86). La soustraction d'impôt peut être commise intentionnellement ou par négligence. Selon la jurisprudence, la preuve d'un comportement intentionnel doit être considérée comme apportée lorsqu'il est établi de façon suffisamment sûre que le contribuable était conscient que les informations données étaient incorrectes ou incomplètes, ce qui doit s'établir en fonction du comportement de l'intéressé lors de la déclaration. Si tel est le cas, il faut présumer qu'il a volontairement voulu tromper les autorités fiscales, ou du moins qu'il a agi par dol éventuel, afin d'obtenir une taxation moins élevée; cette présomption ne se laisse pas facilement renverser - on peine en effet à imaginer quel autre motif pourrait conduire un contribuable à fournir au fisc des informations qu'il sait incorrectes ou incomplètes (ATF 114 Ib 27 consid. 3a; TF 2C_1221/2013 et 2C_1222/2013 du 4 septembre 2014 consid. 3.2 et les références; TF 2C_898/2011 du 28 mars 2012 consid. 2.2). La négligence est définie par l'art. 12 al. 3 CP.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(TF 2C_664/2008 du 4 février 2009 consid. 4.3). b) En droit fédéral et en droit cantonal, l'amende est fixée en règle générale au montant de l'impôt soustrait; si la faute est légère, elle peut être réduite jusqu'au tiers de ce montant; si elle est grave elle peut être au plus triplée (art. 175 al. 2 LIFD, 56 al. 1 LHID, 242 al. 2 LI). Les principes régissant la fixation de la peine prévus à l'art. 47 CP s'appliquent en droit pénal fiscal (ATF 144 IV 136 consid. 7.2.2; 143 IV 130 consid. 3.2; TF 2C_851/2011 du 15 août 2012 consid.</w:t>
      </w:r>
    </w:p>
    <w:p>
      <w:r>
        <w:rPr>
          <w:b/>
        </w:rPr>
        <w:t>E. 7</w:t>
      </w:r>
    </w:p>
    <w:p>
      <w:r>
        <w:t>Les considérants qui précèdent conduisent au rejet des recours et à la confirmation des décisions attaquées. Le recourant, respectivement les recourants, qui succombent, supporteront les frais de justice relatifs à chacune des causes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