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FI.2018.0279 vom 16. Januar 2019</w:t>
      </w:r>
    </w:p>
    <w:p>
      <w:r>
        <w:t>VD Tribunal cantonal, 2019-01-16, FR</w:t>
      </w:r>
    </w:p>
    <w:p>
      <w:r>
        <w:rPr>
          <w:b/>
        </w:rPr>
        <w:t xml:space="preserve">Quelle: </w:t>
      </w:r>
      <w:r>
        <w:t>https://mcp.opencaselaw.ch/entscheid/vd_omni_FI.2018.0279</w:t>
      </w:r>
    </w:p>
    <w:p>
      <w:r>
        <w:t>FR: VD_OMNI FI.2018.0279 du 16 janvier 2019</w:t>
      </w:r>
    </w:p>
    <w:p>
      <w:r>
        <w:t>IT: VD_OMNI FI.2018.0279 del 16 gennaio 2019</w:t>
      </w:r>
    </w:p>
    <w:p>
      <w:pPr>
        <w:pStyle w:val="Heading2"/>
      </w:pPr>
      <w:r>
        <w:t>Regeste</w:t>
      </w:r>
    </w:p>
    <w:p>
      <w:r>
        <w:t>A.________, B.________/Office d'impôt des districts de Nyon et Morges, Administration cantonale des impôts | Recours contre un émolument de sommation interjeté tardivement et donc (manifestement) irrecevable.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Cour de droit administratif et public du Tribunal cantonal examine d'office la recevabilité des recours qui lui sont soumis. Selon une jurisprudence constante, il appartient à la partie recourante de prouver que le délai de recours a été respecté (cf. p. ex. arrêt du Tribunal administratif fédéral A-6718/2007 du 29 janvier 2008 consid. 4.1 ). En l'occurrence, les recourants n'ont donné aucune suite au courrier du 12 décembre 2018 par lequel le juge instructeur les a interpellés au sujet de la tardiveté du recours. Il y a donc lieu de s'en tenir au constat que le recours, interjeté par acte daté du 7 décembre 2018, contre l'émolument de sommation facturé dans le décompte final du 20 septembre 2018 – lequel pouvait être contesté sur ce point dans un délai de 30 jours, comme indiqué au terme de la décision – est tardif et, partant, irrecevable. Le recours étant manifestement irrecevable, un juge unique est compétent pour statuer (art. 94 al. 1 let. d LPA-VD).</w:t>
      </w:r>
    </w:p>
    <w:p>
      <w:r>
        <w:rPr>
          <w:b/>
        </w:rPr>
        <w:t>E. 2</w:t>
      </w:r>
    </w:p>
    <w:p>
      <w:r>
        <w:t>Le recours doit ainsi être déclaré irrecevable. Le présent arrêt peut être rendu sans frais – aucune avance n'ayant été exigée – ni dépens (cf. art. 49, 50, 55, 91 et 99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