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FI.2018.0238 vom 5. März 2020</w:t>
      </w:r>
    </w:p>
    <w:p>
      <w:r>
        <w:t>VD Tribunal cantonal, 2020-03-05, FR</w:t>
      </w:r>
    </w:p>
    <w:p>
      <w:r>
        <w:rPr>
          <w:b/>
        </w:rPr>
        <w:t xml:space="preserve">Quelle: </w:t>
      </w:r>
      <w:r>
        <w:t>https://mcp.opencaselaw.ch/entscheid/vd_omni_FI.2018.0238</w:t>
      </w:r>
    </w:p>
    <w:p>
      <w:r>
        <w:t>FR: VD_OMNI FI.2018.0238 du 5 mars 2020</w:t>
      </w:r>
    </w:p>
    <w:p>
      <w:r>
        <w:t>IT: VD_OMNI FI.2018.0238 del 5 marzo 2020</w:t>
      </w:r>
    </w:p>
    <w:p>
      <w:pPr>
        <w:pStyle w:val="Heading2"/>
      </w:pPr>
      <w:r>
        <w:t>Regeste</w:t>
      </w:r>
    </w:p>
    <w:p>
      <w:r>
        <w:t>A.________ /Office d'impôt des districts de Lausanne et Ouest lausannois, Administration cantonale des impôts | Confirmation de l'émolument de sommation notifié au recourant. Assujetti de manière illimitée dans le canton de Vaud, ce dernier s'est absenté à l'étranger durant la première moitié de l'année, sans prendre le soin de faire suivre son courrier, ni de désigner un mandataire, ce qui explique qu'aucune déclaration n'ait été déposée avant qu'il ne reçoive une sommation de la part de l'office d'impôt.</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convient dès lors d'entrer en matière.</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contribuable qui omet de déposer la formule de déclaration d'impôt, ou qui dépose une formule incomplète, est invité à remédier à l'omission dans un délai raisonnable.</w:t>
      </w:r>
    </w:p>
    <w:p>
      <w:r>
        <w:rPr>
          <w:b/>
        </w:rPr>
        <w:t>E. 4</w:t>
      </w:r>
    </w:p>
    <w:p>
      <w:r>
        <w:t>Le recours doit en conséquence être rejeté et l'émolument contesté, confirmé. Le sort du recours commande que le recourant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