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FI.2018.0086 vom 17. Juli 2019</w:t>
      </w:r>
    </w:p>
    <w:p>
      <w:r>
        <w:t>VD Tribunal cantonal, 2019-07-17, FR</w:t>
      </w:r>
    </w:p>
    <w:p>
      <w:r>
        <w:rPr>
          <w:b/>
        </w:rPr>
        <w:t xml:space="preserve">Quelle: </w:t>
      </w:r>
      <w:r>
        <w:t>https://mcp.opencaselaw.ch/entscheid/vd_omni_FI.2018.0086</w:t>
      </w:r>
    </w:p>
    <w:p>
      <w:r>
        <w:t>FR: VD_OMNI FI.2018.0086 du 17 juillet 2019</w:t>
      </w:r>
    </w:p>
    <w:p>
      <w:r>
        <w:t>IT: VD_OMNI FI.2018.0086 del 17 luglio 2019</w:t>
      </w:r>
    </w:p>
    <w:p>
      <w:pPr>
        <w:pStyle w:val="Heading2"/>
      </w:pPr>
      <w:r>
        <w:t>Regeste</w:t>
      </w:r>
    </w:p>
    <w:p>
      <w:r>
        <w:t>A.________ /Administration cantonale des impôts, Office d'impôt des districts de la Riviera-Pays-d'Enhaut &amp; Lavaux-Oron, Administration fédérale des contributions | Annulation de la décision de l'ACI, qui a considéré à tort que les prestations issues du pilier 3a provenant de comptes distincts et versés de manière échelonnée après l'âge de la retraite en cas de poursuite de l'activité lucrative devaient être imposées conjointement. Les prestations issues du pilier 3a sont échues, dans un tel cas, au moment de leur versement, chaque contrat et convention de prévoyance liée étant en principe traité pour lui-même sous l'angle de l'imposition. Il n'y a pas de raison de traiter différemment la situation du contribuable indépendant ne cotisant pas au 2ème pilier de celle du contribuable exerçant une activité lucrative dépendante. Recours admis.</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185 de la loi du 4 juillet 2000 sur les impôts directs cantonaux (LI; BLV 642.11), le contribuable peut former une réclamation contre la décision de l'autorité de taxation, à l'exclusion des décisions fixant le for fiscal et de celles relatives à la récusation (1 ère phrase). A teneur de l’art. 199 LI, le recours au Tribunal cantonal contre les décisions sur réclamation s'exerce conformément à la loi sur la procédure administrative. b) Le recours ayant été interjeté en l’espèce dans la forme prescrite (art. 140 al. 2 LIFD et 79 de la loi vaudoise du 28 octobre 2008 sur la procédure administrative [LPA-VD; BLV 173.36], par renvoi de l'art. 99 LPA-VD) et le délai de trente jours (art. 140 al. 1 LIFD et 95 LPA-VD), il y a lieu d’entrer en matière.</w:t>
      </w:r>
    </w:p>
    <w:p>
      <w:r>
        <w:rPr>
          <w:b/>
        </w:rPr>
        <w:t>E. 2</w:t>
      </w:r>
    </w:p>
    <w:p>
      <w:r>
        <w:t>a) Le litige a trait à la taxation du recourant, relativement à l’impôt cantonal et communal, ainsi qu’à l’impôt fédéral direct, pour la période 2016. Cette matière est régie par la LIFD, la loi fédérale du 14 décembre 1990 sur l’harmonisation des impôts directs des cantons et des communes (LHID; RS 642.14) et la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Il s’agit de déterminer le traitement fiscal des versements en capital de montants de prévoyance du pilier 3a, problématique qui est réglée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w:t>
      </w:r>
    </w:p>
    <w:p>
      <w:r>
        <w:rPr>
          <w:b/>
        </w:rPr>
        <w:t>E. 3</w:t>
      </w:r>
    </w:p>
    <w:p>
      <w:r>
        <w:t>avril 2019 consid. 3).</w:t>
      </w:r>
    </w:p>
    <w:p>
      <w:r>
        <w:rPr>
          <w:b/>
        </w:rPr>
        <w:t>E. 4</w:t>
      </w:r>
    </w:p>
    <w:p>
      <w:r>
        <w:t>L'autorité intimée prétend qu'une telle interprétation est contraire au principe d'égalité de traitement, dans la mesure où elle défavoriserait systématiquement les contribuables salariés, qui sont limités à la "petite déduction" du pilier 3a selon l'art. 7 al. 1 let. a OPP3. a)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p. 215; 132 I 153 consid. 3.1 p. 154 s.); il prohibe, d'autre part, une surimposition d'un petit groupe de contribuables (interdiction de la discrimination fiscale; cf. ATF 122 I 305 consid. 6a p. 313 s.; arrêt 2P.152/2005 du 25 octobre 2005 consid. 3.1, RDAF 2006 II 109). Les différents principes de droit fiscal déduits de l'égalité de traitement ont été codifiés à l'art. 127 al. 2 Cst. (cf. ATF 133 I 206 consid. 6.1 p. 215). En vertu de cette disposition, dans la mesure où la nature de l'impôt le permet, les principes de l'universalité, de l'égalité de traitement et de la capacité économique doivent, en particulier, être respectés (cf. aussi ATF 140 II 157 consid. 7.1 p. 160).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136 II 120 consid. 3.3.2 p. 127; 133 I 249 consid. 3.3 p. 254 s.; 131 I 1 consid. 4.2 p. 6 s.; 129 I 113 consid. 5.1 p. 125, 346 consid. 6 p. 357ss). L'inégalité de traitement apparaît ainsi comme une forme particulière d'arbitraire, consistant à traiter de manière inégale ce qui devrait l'être de manière semblable ou inversement (ATF 129 I 1 consid. 3 p. 3, 346 consid. 6 p. 357ss; 127 I 185 consid. 5 p. 192; 125 I 1 consid. 2b/aa p. 4 et les références citées). b) La différence de traitement entre les personnes salariées et les autres contribuables repose en l'occurrence sur un motif objectif, puisqu'il est lié à l'affiliation à une institution de prévoyance au sens de l'art. 80 LPP (cf. art. 7 OPP3). Le système selon lequel le contribuable indépendant peut choisir de s'affilier à une institution de prévoyance a été voulu par le législateur fédéral. Ce système ne prévoit pas de possibilité pour le juge ou l'autorité, qui sont tenus d'appliquer les lois fédérales (art. 190 al. 1 Cst.), de s'écarter des conséquences inhérentes à l'application de la législation sur la prévoyance professionnelle, plus particulièrement en ce qui concerne les conséquences fiscales découlant de l'application de l'art. 3 al. 1 OPP 3. C'est par conséquent à tort que l'autorité intimée a considéré que le procédé choisi par le contribuable, consistant à se faire verser trois années consécutives l'avoir qu'il s'est constitué à titre de prévoyance individuelle liée, portait atteinte au principe d'égalité de traitement.</w:t>
      </w:r>
    </w:p>
    <w:p>
      <w:r>
        <w:rPr>
          <w:b/>
        </w:rPr>
        <w:t>E. 5</w:t>
      </w:r>
    </w:p>
    <w:p>
      <w:r>
        <w:t>A moins de démontrer que le contribuable aurait abusivement conclu les différents contrats de prévoyance du pilier 3a, l'autorité intimée ne pouvait ainsi considérer que l'ensemble des prestations versées en 2015, 2016 et 2017 devaient être cumulées. L'autorité intimée ne prétend en l'occurrence pas que le procédé utilisé par le recourant devrait être considéré comme une évasion fiscale, ce qu'il lui incombe de démontrer, de sorte que sa décision doit être annulée.</w:t>
      </w:r>
    </w:p>
    <w:p>
      <w:r>
        <w:rPr>
          <w:b/>
        </w:rPr>
        <w:t>E. 6</w:t>
      </w:r>
    </w:p>
    <w:p>
      <w:r>
        <w:t>Il suit de ce qui précède que le recours doit être admis et la décision attaquée annulée, le dossier étant renvoyé à l'autorité intimée pour nouvelle décision dans le sens des considérants, à savoir en procédant à l'imposition des prestations en capital en cause pour chaque année où celles-ci ont été versées sans les cumuler. Le recourant, qui obtient gain de cause avec l'assistance d'un mandataire, a droit à des dépens, à la charge de l'autorité intimée.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