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FI.2017.0098 vom 6. Februar 2018</w:t>
      </w:r>
    </w:p>
    <w:p>
      <w:r>
        <w:t>VD Tribunal cantonal, 2018-02-06, FR</w:t>
      </w:r>
    </w:p>
    <w:p>
      <w:r>
        <w:rPr>
          <w:b/>
        </w:rPr>
        <w:t xml:space="preserve">Quelle: </w:t>
      </w:r>
      <w:r>
        <w:t>https://mcp.opencaselaw.ch/entscheid/vd_omni_FI.2017.0098</w:t>
      </w:r>
    </w:p>
    <w:p>
      <w:r>
        <w:t>FR: VD_OMNI FI.2017.0098 du 6 février 2018</w:t>
      </w:r>
    </w:p>
    <w:p>
      <w:r>
        <w:t>IT: VD_OMNI FI.2017.0098 del 6 febbraio 2018</w:t>
      </w:r>
    </w:p>
    <w:p>
      <w:pPr>
        <w:pStyle w:val="Heading2"/>
      </w:pPr>
      <w:r>
        <w:t>Regeste</w:t>
      </w:r>
    </w:p>
    <w:p>
      <w:r>
        <w:t>A.________/Administration cantonale des impôts, Administration fédérale des contributions, Office d'impôt des districts de la Riviera-Pays-d'Enhaut &amp; Lavaux-Oron | Réclamation contre une taxation d'office déclarée irrecevable car tardive. Rejet du recours contre cette décision, en l'absence de tout empêchement non fautif de procéder en temps utile. Par ailleurs, il n'y a pas de double peine dans le fait d'être taxé d'office et de se voir infliger des amendes pour violation des obligations de procédure.</w:t>
      </w:r>
    </w:p>
    <w:p>
      <w:pPr>
        <w:pStyle w:val="Heading2"/>
      </w:pPr>
      <w:r>
        <w:t>Erwägungen</w:t>
      </w:r>
    </w:p>
    <w:p>
      <w:r>
        <w:rPr>
          <w:b/>
        </w:rPr>
        <w:t>E. 1</w:t>
      </w:r>
    </w:p>
    <w:p>
      <w:r>
        <w:t>En ce qui concerne l'impôt cantonal, le délai de recours de 30 jours (art. 95 de la loi vaudoise du 28 octobre 2008 sur la procédure administrative [LPA-VD; RSV 173.36], applicable par renvoi de l'art. 199 de la loi vaudoise du</w:t>
      </w:r>
    </w:p>
    <w:p>
      <w:r>
        <w:rPr>
          <w:b/>
        </w:rPr>
        <w:t>E. 4</w:t>
      </w:r>
    </w:p>
    <w:p>
      <w:r>
        <w:t>Il résulte des considérants qui précèdent que le recours doit être rejeté, dans la mesure où il est recevable, et la décision sur réclamation attaquée, confirmée. Un émolument de 500 fr. est mis à la charge du recourant, qui succombe (art. 49 al. 1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