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FI.2017.0078 vom 19. Dezember 2017</w:t>
      </w:r>
    </w:p>
    <w:p>
      <w:r>
        <w:t>VD Tribunal cantonal, 2017-12-19, FR</w:t>
      </w:r>
    </w:p>
    <w:p>
      <w:r>
        <w:rPr>
          <w:b/>
        </w:rPr>
        <w:t xml:space="preserve">Quelle: </w:t>
      </w:r>
      <w:r>
        <w:t>https://mcp.opencaselaw.ch/entscheid/vd_omni_FI.2017.0078</w:t>
      </w:r>
    </w:p>
    <w:p>
      <w:r>
        <w:t>FR: VD_OMNI FI.2017.0078 du 19 décembre 2017</w:t>
      </w:r>
    </w:p>
    <w:p>
      <w:r>
        <w:t>IT: VD_OMNI FI.2017.0078 del 19 dicembre 2017</w:t>
      </w:r>
    </w:p>
    <w:p>
      <w:pPr>
        <w:pStyle w:val="Heading2"/>
      </w:pPr>
      <w:r>
        <w:t>Regeste</w:t>
      </w:r>
    </w:p>
    <w:p>
      <w:r>
        <w:t>A.________ /POLICE CANTONALE | Confirmation de la facturation des frais d'intervention de la police au perturbateur par comportement (interdiction de cracher sur la voie publique). Peu importe que celui-ci ait été condamné à une amende à laquelle il ne s'est pas opposé; la procédure pénale et la sentence municipale doivent être distinguées de la procédure administrative et de l'émolument administratif. Au surplus, le montant réclamé constitue le minimum que l’autorité intimée peut exiger de chaque contrevenant ayant, à l’image du recourant, généré l'intervention des services de police pour troubles à l'ordre public.</w:t>
      </w:r>
    </w:p>
    <w:p>
      <w:pPr>
        <w:pStyle w:val="Heading2"/>
      </w:pPr>
      <w:r>
        <w:t>Erwägungen</w:t>
      </w:r>
    </w:p>
    <w:p>
      <w:r>
        <w:rPr>
          <w:b/>
        </w:rPr>
        <w:t>E. 1</w:t>
      </w:r>
    </w:p>
    <w:p>
      <w:r>
        <w:t>Aux termes de l’art. 92 al. 1 de la loi cantonale du 26 octobre 2008 sur la procédure administrative (LPA-VD; RSV 173.36), le Tribunal cantonal connaît des recours contre les décisions et décisions sur recours rendues par les autorités administratives, lorsque la loi ne prévoit aucune autre autorité pour en connaître. Les décisions attaquées dans le cas d’espèce ont été prises en application de la loi du 17 novembre 1975 sur la police cantonale (LPol; RSV 133.11), laquelle ne prévoit aucune autorité de recours. Par conséquent, le Tribunal est bien compétent pour connaître du recours. Au surplus, celui-ci a été interjeté dans la forme (art. 79 al. 1 et 99 LPA-VD) et le délai (art. 95 LPA-VD) prévus par la loi; il y a donc lieu d’entrer en matière.</w:t>
      </w:r>
    </w:p>
    <w:p>
      <w:r>
        <w:rPr>
          <w:b/>
        </w:rPr>
        <w:t>E. 2</w:t>
      </w:r>
    </w:p>
    <w:p>
      <w:r>
        <w:t>p. 133; 121 I 235 consid. 3e p. 235 s.; Ernst Blumenstein/Peter Locher, System des schweizerischen Steuerrechts,</w:t>
      </w:r>
    </w:p>
    <w:p>
      <w:r>
        <w:rPr>
          <w:b/>
        </w:rPr>
        <w:t>E. 7</w:t>
      </w:r>
    </w:p>
    <w:p>
      <w:r>
        <w:t>ème éd., Zurich 2016 , p. 5 s.; Ernst Höhn/Robert Waldburger, Steuerrecht, vol. I,</w:t>
      </w:r>
    </w:p>
    <w:p>
      <w:r>
        <w:rPr>
          <w:b/>
        </w:rPr>
        <w:t>E. 9</w:t>
      </w:r>
    </w:p>
    <w:p>
      <w:r>
        <w:t>ème éd., Berne/Stuttgart/Vienne 2001, n. 6 ad § 1; Jean-Marc Rivier, L'imposition du revenu et de la fortune, 2 ème éd. Lausanne 1998, p. 47; Walter Ryser/Bernard Rolli, Précis de droit fiscal suisse, 4 ème éd., Berne 2002, p. 3; Lukas Widmer, Das Legalitätsprinzip im Abgaberecht, thèse Zurich 1998, p. 118 ss et les nombreuses références citées). A la différence de l'impôt qui est dû indépendamment de toute contre-prestation concrète pour participer aux dépenses résultant des tâches générales dévolues à l'Etat en vue de la réalisation du bien commun,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Höhn/Waldburger, op. cit., n. 3 s. ad §1; Adrian Hungerbühler, Grundsätze des Kausalabgabenrechts, in : ZBl 2003 p. 505 ss, p. 507; Xavier Oberson, Droit fiscal suisse, 4 ème éd., Bâle 2012, nos 4,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b)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citant la surveillance dont les banques ou les assurances font l'objet). Il est dû par l’administré qui a recours à un service public, que l’activité de l'Etat ait été déployée d’office ou que l’administré l’ait sollicitée, que l'administré en retire un avantage ou non (cf. Blaise Knapp, Précis de droit administratif, 4 ème éd., Bâle 1991, nos 2777 et 2780 p. 574 s., et les références citées; Hungerbühler, op. cit., p. 508 s.). Autre forme d'émolument, l'émolument de chancellerie est défini comme une contribution modique perçue pour rémunérer un acte de l'administration qui n'exige pas un examen ou un contrôle particulier (Oberson, op. cit., §1 n°7, réf. citées).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126 I 180 consid. 2a p. 183; 104 Ia 113 consid. 3 p. 115; 93 I 632 précité, dans lequel le Tribunal fédéral a considéré que la rémunération due à l'autorité dans la procédure de censure cinématographique n'avait pas le caractère d'un simple émolument de chancellerie). c) Les différents types de contributions causales ont en commun d'obéir au principe de l'équivalence, qui est l'expression du principe de la proportionnalité en matière de contributions publiques, selon lequel le montant de la contribution exigée d'une personne déterminée doit être en rapport avec la valeur objective de la prestation fournie à celle-ci (rapport d'équivalence individuelle). En outre, la plupart des contributions causales, en particulier celles dépendant des coûts, à savoir celles qui servent à couvrir certaines dépenses de l'Etat, telles que les émoluments et les charges de préférence, doivent respecter le principe de la couverture des frais. Selon ce principe, le produit global des contributions ne doit pas dépasser, ou seulement de très peu, l'ensemble des coûts engendrés par la subdivision concernée de l'administration (Blumenstein/Locher, op. cit., p. 2 s.; Hungerbühler, op. cit., p. 512; cf. aussi ATF 135 I 130 consid. 2 p. 134; 129 I 346 consid. 5.1 p. 354). d) Dans le cas d'espèce, le montant réclamé au recourant en contrepartie d'une intervention de police destinée à rétablir l’ordre et la tranquillité publics constitue clairement une taxe causale, plus précisément un émolument administratif ordinaire. En effet, les tâches dévolues à l'autorité dans une situation de ce type sont trop complexes pour que l'on puisse admettre que l'on se trouve en présence dans le cas d'un simple émolument de chancellerie (dans le même sens, arrêt GE.2007.0155 du 18 janvier 2008). 3. a) On rappelle au préalable que l’art. 1 er al. 1 LPol confie à la police cantonale la mission générale d'assurer, dans les limites de la loi, le maintien de la sécurité et de l'ordre publics. La modification législative du 31 mars 2009, entrée en vigueur le 1er juillet 2009, a introduit l’art. 1b LPol, qui constitue la base légale, qui jusqu’alors faisait défaut (v. arrêts GE.2007.0251 du 19 février 2008; GE.2007.0155, déjà cité), permettant à la police cantonale de prélever des frais pour son intervention, lorsque la responsabilité des administrés est reconnue, en particulier lorsque leur comportement a mis en péril la stabilité de l’Etat ou les intérêts de tiers (cf. Exposé des motifs et projet de loi modifiant la LPol en vue de percevoir des frais d’intervention, juillet 2008, n°98, p. 4). En application de l’art. 1b al. 1 LPol, la police cantonale est ainsi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Au sujet de cette disposition, l'exposé des motifs précise notamment ce qui suit (ibid.):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b) ll découle de ce qui précède que l'art. 1b al. 1 LPol définit clairement la qualité du contribuable quant aux frais d'intervention de la police puisqu'il mentionne l'administré dont le comportement a engendré l'intervention, à savoir le perturbateur par comportement. La jurisprudence le définit comme celui qui a occasionné un dommage ou un danger par lui-même ou par le comportement d'un tiers relevant de sa responsabilité (ATF 139 II 106 consid. 3.1.1 p. 109; 127 I 60 consid. 5c p. 71; 122 II 65 consid. 6a p. 70). Selon l'art. 1b al. 1 LPol, il faut en outre que cette personne ait eu un comportement fautif et qu'elle ait été poursuivie pénalement et condamnée de ce fait (arrêt du Tribunal fédéral 2C_780/2015 du 29 mars 2016 consid. 3.3). c) L’art. 1b al. 3 LPol précise que les frais peuvent être perçus sous forme de forfait (1 ère phrase). Le montant maximal de celui-ci est de 3'000 fr. (2 ème phrase). Les frais d'intervention de la police cantonale font l'objet de tarifs fixés par le Conseil d'Etat (art. 1b al. 5 LPol). L'art. 1 er let. A du règlement du 23 mars 1995 fixant les frais dus pour certaines interventions de la police cantonale (RE-Pol; RSV 133.12.1) prévoit, au ch. 1, un tarif horaire par homme (de 45 à 120 fr.) et par véhicule (de 1 fr.10 à 2 fr.50) engagés, et au ch. 3, le prélèvement d'un forfait d'un montant de 200 fr. à 1'000 fr. auprès de chaque contrevenant ayant généré l'intervention des services de police pour troubles à l'ordre public, notamment. L'autorité de céans a déjà eu l'occasion de confirmer que le principe d'une facturation forfaitaire était possible puisqu'il permettait d'éviter les inéquités engendrées par un calcul individualisé (arrêts FI.2012.0053 du 27 décembre 2012 et FI.2012.0067 du 27 décembre 2012). 4. a) En l’occurrence, il ne fait aucun doute que le comportement du recourant a généré l’intervention de police à ********, place ********, vers 19h25. Sans doute, le recourant explique qu’il se serait blessé ce jour-là en saluant des amis et que, saignant abondamment, il se serait essuyé avec ses mains et ses bras. C’est en se dirigeant vers la fontaine publique pour se nettoyer qu’il aurait craché au sol le sang qu’il avait dans la bouche. Il aurait été interpellé à ce moment-là. Quoi qu’il en soit de ses explications et de celles, écrites, d’B.________, jointes au recours, le recourant ne peut de toute façon contester sérieusement avoir souillé la voie publique, ceci d’autant moins qu’il n’a pas fait opposition à l’ordonnance du 7 août 2017, rendue par la Commission de police ********, prononcée à son encontre pour contravention à l’art. 39 let. a RCP, de sorte que cette condamnation pénale est entrée en force. Par surabondance de moyens, on relève qu’aux termes du rapport du 15 mai 2017, le recourant aurait reconnu le bien-fondé de l’intervention de la police. Perturbateur par comportement, le recourant doit par conséquent également être recherché pour le paiement des frais d’intervention de police. Il ne peut s’y opposer en invoquant le paiement de l’amende et des frais de procédure pénale. En effet, la contravention au règlement communal de police doit être distinguée de l’émolument de la police cantonale. b) Quant au montant réclamé au recourant dans la décision attaquée, il échappe à la critique. La loi prévoit expressément que les frais puissent être prélevés de manière forfaitaire (art. 1b al. 3, 1 ère phrase LPol). La jurisprudence admet un certain schématisme dans la perception de la contribution causale et dans la fixation de son montant (cf. Danielle Yersin, L'égalité de traitement en droit fiscal, rapport publié in : RDS 1992 II, p. 144 et ss, not. 173/174; références citées). Ainsi qu’on l’a vu ci-dessus, le montant de 200 fr. constitue le minimum que l’autorité intimée peut exiger de chaque contrevenant ayant, à l’image du recourant, généré l'intervention des services de police pour troubles à l'ordre public (cf. art. 1 er let. A ch. 3 RE-Pol). 5. Il suit de ce qui précède que le recours doit être rejeté et la décision attaquée, confirmée.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