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FI.2017.0061 vom 2. März 2018</w:t>
      </w:r>
    </w:p>
    <w:p>
      <w:r>
        <w:t>VD Tribunal cantonal, 2018-03-02, FR</w:t>
      </w:r>
    </w:p>
    <w:p>
      <w:r>
        <w:rPr>
          <w:b/>
        </w:rPr>
        <w:t xml:space="preserve">Quelle: </w:t>
      </w:r>
      <w:r>
        <w:t>https://mcp.opencaselaw.ch/entscheid/vd_omni_FI.2017.0061</w:t>
      </w:r>
    </w:p>
    <w:p>
      <w:r>
        <w:t>FR: VD_OMNI FI.2017.0061 du 2 mars 2018</w:t>
      </w:r>
    </w:p>
    <w:p>
      <w:r>
        <w:t>IT: VD_OMNI FI.2017.0061 del 2 marzo 2018</w:t>
      </w:r>
    </w:p>
    <w:p>
      <w:pPr>
        <w:pStyle w:val="Heading2"/>
      </w:pPr>
      <w:r>
        <w:t>Regeste</w:t>
      </w:r>
    </w:p>
    <w:p>
      <w:r>
        <w:t>A.________, B.________/Administration cantonale des impôts, Administration fédérale des contributions | Remise d'impôt demandée par un contribuable qui doit faire face, outre à ses dettes fiscales de l’ordre de 45'000 fr., à un endettement à l'égard de la BCV de l'ordre de 6 millions et qui, à tout le moins jusqu’en décembre 2017, remboursait cette dette à concurrence de 950 fr. par mois. Les autorités fiscales vaudoises se sont inspirées de la solution fédérale et considèrent à juste titre que la collectivité publique ne saurait accorder de remise que si et dans la mesure où les autres créanciers du contribuable consentent également à un abandon de créance. Il n'y a par ailleurs pas de raison d'appliquer aux recourants le même traitement que celui octroyé par la Directive du Conseil d'Etat vaudois relative au traitement fiscal des plus-values immobilières agricoles du 6 septembre 2017, les situations étant différentes. Confirmation de la décision refusant la remise et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problématique est réglée de manière semblable en droit fédéral et en droit cantonal. Le Tribunal statuera dès lors en un seul arrêt, sans distinguer entre l’impôt fédéral direct, d’une part, et l’impôt cantonal et communal, d’autre part, comme la jurisprudence qui vient d’être rappelée lui permet de le faire (cf. CDAP FI.2013.0033 du 8 janvier 2014 consid. 2).</w:t>
      </w:r>
    </w:p>
    <w:p>
      <w:r>
        <w:rPr>
          <w:b/>
        </w:rPr>
        <w:t>E. 3</w:t>
      </w:r>
    </w:p>
    <w:p>
      <w:r>
        <w:t>Les amendes et les rappels d'impôt peuvent faire l'objet d'une remise uniquement dans des cas exceptionnels particulièrement fondés.</w:t>
      </w:r>
    </w:p>
    <w:p>
      <w:r>
        <w:rPr>
          <w:b/>
        </w:rPr>
        <w:t>E. 3.6</w:t>
      </w:r>
    </w:p>
    <w:p>
      <w:r>
        <w:t>p. 451; arrêts TF 5A_254/2014 du 5 septembre 2014 consid. 2.1, 2P.272/2000 du 17 janvier 2002 consid. 2a, non publié in ATF 128 II 112 ). Les autorités cantonales vaudoises se sont inspirées de la solution fédérale et considèrent que la collectivité publique ne saurait accorder de remise que si et dans la mesure où les autres créanciers consentent également à un abandon de créance. Dans le cas contraire, la remise reviendrait ainsi à privilégier un ou des créancier(s) de droit privé, ce qui n'est pas compatible avec les principes généraux de la procédure de remise (cf. arrêts FI.2017.0053 du 20 novembre 2017, FI.2016.0079 du 3 mars 2017, FI.2015.0036 du 8 janvier 2016, FI.2010.0027 du 9 septembre 2010). c) Le Tribunal fédéral a jugé que le contribuable à qui l'autorité refuse une remise d'impôt n'est atteint dans ses intérêts juridiquement protégés que si le droit cantonal lui confère un droit à une telle remise. Il faut alors que la loi cantonale décrive avec précision les conditions auxquelles un tel avantage est accordé. En présence de règles purement potestatives ( Kann-Vorschriften ), il n'y a pas un droit à la remise d'impôt. Les lois cantonales sur l'imposition du revenu laissent en général un grand pouvoir d'appréciation à l'autorité compétente; la plupart d'entre elles disposent que l'impôt peut être remis dans certaines circonstances (ATF 122 I 373 résumé et traduit in JT 1998 I pp. 253 ss). Tel est le cas de la réglementation vaudoise qui prévoit que l'ACI " peut accorder une remise totale ou partielle " (cf. art. 231 LI et 64 de la loi du 27 février 1963 concernant le droit de mutation sur les transferts immobiliers et l'impôt sur les successions et donations [LMSD; RSV]) et laisse un important pouvoir d'appréciation à l'autorité compétente (cf. arrêts FI.2015.0156 du 15 avril 2016 consid. 3c, FI.2015.0036 du 8 janvier 2016 consid. 1a, FI.2013.0081 du 9 juillet 2014 consid. 1d et les références citées; cf. ég. TF 2D_27/2013 du 27 juin 2013 consid. 2, 2D_55/2012 du 24 septembre 2012 consid. 2.1 et les références citées). Tel est également le cas de l’art. 167 LIFD (cf. les références précitées). De manière générale, afin de garantir l'égalité de traitement, au sens de l'art. 8 de la Constitution fédérale de la Confédération suisse du 18 avril 1999 (Cst.; RS 101), la remise doit rester exceptionnelle. 4. En l’occurrence, le contribuable doit faire face, outre à ses dettes fiscales de l’ordre de 45'000 fr. environ, à un endettement important à l'égard de la BCV, de 6'215'321 fr. 75. A tout le moins jusqu’en décembre 2017, il remboursait cette dette à concurrence de 950 fr. par mois, La règle générale exposée ci-dessus dispose que la collectivité publique ne saurait accorder de remise que si et dans la mesure où les autres créanciers consentent également à un abandon de créance. Or il ne ressort pas du dossier que la BCV aurait abandonné sa créance. Peu importe d’ailleurs à cet égard que le recourant continue ou non à rembourser cette créance, dès lors qu’elle existe toujours et qu’elle est toujours exigible. L’octroi de l’allégement fiscal réclamé reviendrait dans ce cas de figure à privilégier un créancier de droit privé, la BCV, ce qui n'est pas compatible avec les principes généraux de la procédure de remise (cf. notamment art. 167 al. 2 LIFD). Le recourant indique qu’un abandon de créance par la BCV n’aurait pas de sens vu que cette remise de dette constituerait un revenu imposable. Il s’agit toutefois d’une hypothèse qui n’est à ce stade pas vérifiée et qu’il ne revient pas au tribunal de céans d’examiner. Quoi qu’il en soit, en l’occurrence, une remise d'impôt n'aurait pas pour effet de contribuer à assainir durablement la situation économique du recourant qui n’a aucune fortune, qui vient de perdre son emploi et qui n'a, semble-t-il, aucune perspective de réinsertion professionnelle au vu de son âge. De plus, le recourant ne fait pas valoir de "motifs graves", au sens de l’art. 231 al. 1 LI qui justifieraient de lui accorder la remise. Certes, il se trouve avec son épouse lourdement endetté à l’âge de la retraite, sans véritable espoir de pouvoir rembourser ses dettes de son vivant, ce qui constitue indéniablement une situation très éprouvante. Le recourant ne fait toutefois pas valoir de motif particulier lié sa personne en raison duquel il se serait subitement trouvé dans le dénuement pour une raison indépendante de sa volonté (cf. à cet égard par exemple l'art. 3 al. 1 de l'ordonnance précitée). Les recourants se réfèrent également à la directive. Celle-ci n'applique pas par analogie les dispositions fédérales sur la remise et n'exige pas un parallélisme des sacrifices ni l'assainissement de la situation du contribuable. Les recourants réclament le même traitement que celui octroyé par ladite directive, leur situation étant à leur avis bien plus grave que celle de nombreux agriculteurs pouvant obtenir une remise sur la base de cette directive. Ils estiment que le refus de leur appliquer les mêmes conditions qu'aux agriculteurs concernés par la directive violerait gravement le principe de l'égalité de traitement. Ils demandent que les principes de la directive soient appliqués à leur demande ou, en cas de refus, qu'il soit constaté que la directive est inconstitutionnelle. On rappelle qu’i 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En l’espèce, les situations de fait sont clairement différentes. La directive ne s’applique qu’au traitement fiscal des plus-values immobilières agricoles . Elle règle une problématique particulière sur une durée temporelle limitée. Les recourants ne tombent pas dans son champ d’application et ne peuvent pas en bénéficier. L’appréciation abstraite de la constitutionnalité de cette directive ne relève au surplus pas des compétences de la CDAP. Les griefs des recourants en rapport avec cette directive doivent dès lors être écartés. Pour ce motif également, la décision litigieuse n'est pas contraire au droit et ne procède pas d'un abus du pouvoir d'appréciation de l’autorité intimée.</w:t>
      </w:r>
    </w:p>
    <w:p>
      <w:r>
        <w:rPr>
          <w:b/>
        </w:rPr>
        <w:t>E. 4</w:t>
      </w:r>
    </w:p>
    <w:p>
      <w:r>
        <w:t>L'autorité de remise n'entre en matière que sur les demandes en remise déposées avant la notification du commandement de payer (art. 38, al. 2, de la LF du 11 avril 1889 sur la poursuite pour dettes et la faillite; LP 2 ).</w:t>
      </w:r>
    </w:p>
    <w:p>
      <w:r>
        <w:rPr>
          <w:b/>
        </w:rPr>
        <w:t>E. 5</w:t>
      </w:r>
    </w:p>
    <w:p>
      <w:r>
        <w:t>Fondé sur ce qui précède, le recours doit être rejeté et la décision entreprise confirmée. Il se justifie de statuer sans frais (art. 50 LPA-VD). Compte tenu de leurs ressources, les recourants ont été mis au bénéfice de l'assistance judiciaire par décision du 15 juin 2017, qui les a exonérés d'avances et de frais judiciaires. Vu l'issue du litige, il n'y a pas lieu d'allouer d'indemnité à titre de dépens (art. 55 al. 1 et 56 al. 3 LPA-VD).</w:t>
      </w:r>
    </w:p>
    <w:p>
      <w:r>
        <w:rPr>
          <w:b/>
        </w:rPr>
        <w:t>E. 5.2</w:t>
      </w:r>
    </w:p>
    <w:p>
      <w:r>
        <w:t>p. 72; arrêt TF 2C_954/2010 du 8 décembre 2011 consid. 4.4, in RDAF 2012 II 9). Il n'y a pas non plus de motif d'exiger des cantons qu'ils mettent en place une solution identique à celle du droit fédéral (cf. ATF 143 II 459 consid. 2.1 p. 465, 140 II 141 consid. 8 p. 156, 130 II 65 consid. 5.2 p. 71 ss). Le droit fédéral ne peut, dans ce contexte, être pris en compte qu'à titre de source d'inspiration ou, tout au plus, en tant que droit cantonal supplétif (cf. ATF 141 IV 444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