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FI.2017.0044 vom 15. Januar 2020</w:t>
      </w:r>
    </w:p>
    <w:p>
      <w:r>
        <w:t>VD Tribunal cantonal, 2020-01-15, FR</w:t>
      </w:r>
    </w:p>
    <w:p>
      <w:r>
        <w:rPr>
          <w:b/>
        </w:rPr>
        <w:t xml:space="preserve">Quelle: </w:t>
      </w:r>
      <w:r>
        <w:t>https://mcp.opencaselaw.ch/entscheid/vd_omni_FI.2017.0044</w:t>
      </w:r>
    </w:p>
    <w:p>
      <w:r>
        <w:t>FR: VD_OMNI FI.2017.0044 du 15 janvier 2020</w:t>
      </w:r>
    </w:p>
    <w:p>
      <w:r>
        <w:t>IT: VD_OMNI FI.2017.0044 del 15 gennaio 2020</w:t>
      </w:r>
    </w:p>
    <w:p>
      <w:pPr>
        <w:pStyle w:val="Heading2"/>
      </w:pPr>
      <w:r>
        <w:t>Regeste</w:t>
      </w:r>
    </w:p>
    <w:p>
      <w:r>
        <w:t>A.________/Administration cantonale des impôts, Office d'impôt des districts du Jura-Nord vaudois et Broye-Vully | Assiette de l'impôt sur les gains immobiliers dû par l'héritière du vendeur. Sans doute, le père de la recourante et son frère se sont engagés vis-à-vis de leur père à verser à leur autre frère un montant de 100'000 fr., en cas d’aliénation par eux de l'immeuble et ce, dans les trente jours suivant l’inscription du transfert au Registre foncier. La preuve du lien de causalité entre le gain immobilier que le père a réalisé en vendant cet immeuble et le versement de 100'000 Euros en faveur de son frère et de sa belle-soeur n'est cependant pas rapportée. Confirmation de la décision sur réclamation attaquée qui refuse la déductibilité de ce dernier montant à titre d'impense.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LPA-VD) et le délai de trente jours (art. 95 LPA-VD), il y a lieu d’entrer en matière.</w:t>
      </w:r>
    </w:p>
    <w:p>
      <w:r>
        <w:rPr>
          <w:b/>
        </w:rPr>
        <w:t>E. 2</w:t>
      </w:r>
    </w:p>
    <w:p>
      <w:r>
        <w:t>Dans son recours, la recourante a requis, à titre de mesure d’instruction, son audition afin de pouvoir s’expliquer oralement sur les circonstances ayant entouré le versement de 100'000 Euros en faveur de I.________ et E.________ le 22 août 2011 et sur le choix de la monnaie. En outre, dans sa réplique, elle a requis la production en mains des autorités fiscales de tous les documents utiles concernant le calcul de l’assiette du gain immobilier, tel qu’il a été fixé dans la décision du 27 avril 2012. a) On rappelle que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aussi bien pour la procédure devant l’autorité de décision que pour la procédure de recours. La garantie constitutionnelle figurant aux art. 29 al. 2 Cst. et 27 al. 2 Cst./VD ne confère pas le droit d'être entendu oralement, ni celui d'obtenir l'audition de témoins (ATF 134 I 140 consid. 5.3 p. 148; 122 II 464 consid. 4c p. 469/470).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b) La recourante offre tout d’abord de prouver que le versement que son père a effectué le 22 août 2011 est lié à l’aliénation de la parcelle n°******** le 17 juin 2011. On relève que, durant la procédure de réclamation, l’office d’impôt lui a déjà donné l’occasion de fournir cette preuve le 21 septembre 2012, en l’invitant à produire plusieurs documents. A cela s’ajoute que la recourante s’est longuement exprimée par écrit, non seulement durant la procédure de réclamation, mais également durant la présente procédure puisqu’elle s’est déterminée, postérieurement à son recours, à trois reprises. Par ailleurs, comme on le verra plus loin (cf. consid. 6a, infra), la recourante ignorait au demeurant tout du versement en faveur de E.________, qu’elle a découvert postérieurement au dépôt de sa réclamation. On ne voit dès lors pas quels sont les éléments complémentaires qui pourraient ressortir de son audition. Quant à la production des documents ayant permis à l’autorité de taxation de déterminer l’assiette du gain immobilier, on relève que le montant de 790'000 fr., retenu dans la décision du 27 avril 2012, figure au ch. 20 de la déclaration signée par la recourante le 23 février 2012. Du reste, le conseil de la recourante a pu consulter l’entier du dossier au greffe du Tribunal le 4 octobre 2019. Enfin,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aux réquisitions d’instruction de la recourante.</w:t>
      </w:r>
    </w:p>
    <w:p>
      <w:r>
        <w:rPr>
          <w:b/>
        </w:rPr>
        <w:t>E. 2.4</w:t>
      </w:r>
    </w:p>
    <w:p>
      <w:r>
        <w:t>p. 401; arrêt 2C_674/2014 du 11 février 2015 consid. 3.3). En droit cantonal, l’art. 70 LI (dans sa teneur en vigueur jusqu’au 31 août 2018, la décision attaquée remontant au 13 mars 2017) définit les impenses que le contribuable peut déduire du gain réalisé de la façon suivante: " 1 Seules les dépenses établies par le contribuable qui sont inséparablement liées à l'acquisition ou à l'aliénation, ou qui contribuent à l'augmentation de la valeur de l'immeuble peuvent être déduites. Elles comprennent: a.         les droits de mutation sur les transferts à titre onéreux, les frais d'actes et                      d'enchères; b.         les commissions et frais de courtage effectivement payés pour l'achat et la                    vente; c.         les dépenses donnant une plus-value à l'immeuble; d.         le coût de travaux d'utilité publique mis à la charge du propriétaire; e.         l'acquisition et le rachat de servitudes; f.          les frais des emprunts hypothécaires contractés au moment de l'achat, de                      même que les frais des emprunts contractés pour des transformations et                        réparations; g.         l'investissement supplémentaire fait par le contribuable à l'occasion d'une                       opération donnant lieu à une imposition différée selon l'article 65, alinéa 1,               lettres d à h. h.         les frais consacrés à un projet non exécuté spécifiquement conçu pour                           l'immeuble et irréalisable ailleurs ; i.          la taxe pour l'équipement communautaire d'un bien-fonds liée à des                                mesures d'aménagement du territoire due à la commune par le propriétaire              du fonds. 2 Les dépenses qui donnent lieu à une déduction du revenu et la valeur du travail du contribuable qui n'a pas été imposée comme revenu ne peuvent pas être déduites. 3 Lorsque le contribuable est dans l'incapacité d'établir ses impenses et qu'un bâtiment a été construit après l'acquisition du bien-fonds, son prix de revient est fixé forfaitairement par référence au coût de construction à la date déterminante. Les autres impenses non établies ne sont pas prises en considération." Cette disposition reprend, en le précisant, l’art. 48 de l’ancienne loi homonyme, du 26 novembre 1956 (aLI). Les impenses comprennent donc les dépenses liées à l’acquisition de l’immeuble et à son aliénation, ainsi que les dépenses qui ont augmenté sa valeur (arrêt FI.2001.0098 du 15 juillet 2004). L'exposé des motifs à l'appui du projet de loi sur les impôts directs cantonaux cite quelques exemples de frais ne constituant pas des impenses déductibles (indemnité versée au locataire lors d’une résiliation anticipée du contrat de bail, frais de résiliation d’un contrat de crédit hypothécaire, frais de procès opposant des héritiers ou un bailleur et son locataire; v. BGC mai 2000 p. 723 ss, not. 811). b) Les dépenses d'investissement constituent un facteur conduisant à réduire la charge fiscale; par conséquent, le contribuable supporte le fardeau de la preuve des faits y relatifs (arrêt 2C_288/2007 du 19 décembre 2007 consid. 5.2, in RtiD 2008 I p. 971).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(arrêts FI.2001.0098 du 15 juillet 2004; FI.2002.0059 du 30 octobre 2002; FI.1998.0099 du 25 mars 1999 et les références citées; v. encore Martin Zweifel, Die Sachverhaltsermittlung im Steuerveranlagungsverfahren, Zurich 1989, p. 110s., réf. citées). Plus généralement du reste, en matière fiscale, il incombe à celui qui fait valoir l'existence d'un fait de nature à éteindre ou à diminuer sa dette fiscale d'en apporter la preuve et de supporter les conséquences de l'échec de cette preuve (ATF 140 II 248 consid. 3.5 et les réf. citées; ATF 121 II 257 consid. 4c/aa et les réf. citées). Dès lors, l'autorité fiscale doit établir les faits qui justifient l'assujettissement et qui augmentent la taxation, tandis que le contribuable doit prouver les faits qui diminuent la dette ou la suppriment (Ernst Blumenstein/Peter Locher, System des schweizerischen Steuerrechts, 7 ème éd. Zurich 2016, p. 419 et p. 562, références citées). De façon encore plus générale, le défaut de preuve va toujours au détriment de la partie qui entendait tirer un droit du fait allégué mais non prouvé (v. Pierre Moor/Etienne Poltier, Droit administratif, vol. II, 3ème éd., Berne 2011, n° 2.2.6.4; Max Imboden/René-A. Rhinow, Schweizerische Verwaltungsrechtsprechung, Band I, Bâle 1986, Nr. 88, p. 551, références citées). Par conséquent , l e contribuable qui revendique certains montants à titre de déduction du gain immobilier réalisé ne saurait se confiner dans une attitude passive, mais doit au contraire démontrer l'exactitude des indications qu'il fournit (cf. Heinz Masshardt, Kommentar zur direkten Bundessteuer, 2 ème éd., Zurich 1985, ad art. 89, n°2, plus références). Ainsi, dans un arrêt FI.1993.0045 du 16 décembre 1997, le Tribunal administratif a écarté la déduction revendiquée par la masse en faillite d'une contribuable en liquidation, celle-ci s'étant contentée de simples allégués tout en requérant l'administration de moyens de preuve dont certains se sont avérés impossibles à réunir (v. également FI.1994.0133 du 26 février 1998). 6. En l’occurrence, la recourante fait valoir que c’est en exécution de l’art. 3 de l’acte du 10 février 1984 que C.________ a versé 100'000 Euros à I.________ et E.________ le 22 août 2011. Elle voit un lien de causalité entre ce montant et le gain immobilier réalisé par C.________ à l’issue de la vente du 17 juin 2011. Dans ses dernières écritures, elle conclut à ce que cette déduction soit à tout le moins admise pour un montant de 50'000 francs. Pour l’autorité intimée, la preuve de ce lien de causalité n’est pas rapportée par la recourante. a) On relève à titre préliminaire qu’aucune impense n’a été revendiquée dans la déclaration faite par la recourante du gain immobilier réalisé par feu C.________. En effet, c’est postérieurement à la réclamation contre la taxation du 27 avril 2012 que la recourante aurait découvert, selon ses explications, l’acte notarié du 10 février 1984 faisant mention du versement de 100'000 fr. en faveur de E.________ en cas d’aliénation de la parcelle n°********. Son conseil a du reste écrit en ce sens le 27 août 2012 à l’autorité de taxation, pour s’interroger sur la déductibilité éventuelle de ce montant. Le 6 novembre 2012, ce même conseil a adressé à l’autorité de taxation une copie de l’avis de débit du 22 août 2011, que la recourante venait de retrouver, confirmant l’exécution par le Crédit Suisse d’un ordre de paiement, donné le 19 août 2011 par C.________, d’un montant de 100'000 Euros, en faveur de I.________ et E.________, sur le compte ouvert par ces derniers au ********, à ********. Il ressort de ce qui précède, comme du reste de ses dernières écritures, que la recourante ignorait, du vivant de son père, l’existence de cette charge. On conçoit mal, dans ces conditions, qu’elle ait pu recueillir des explications sur ce point de la part de ce dernier sur ce versement. b) Le fondement même de la charge dont l’acte du 10 février 1984 est assorti n’est pas évidente à cerner. B.________ étant agriculteur, tout comme ses fils C.________ et D.________, on pourrait songer à l’ancien art. 619 CC qui, jusqu’à l’entrée le 1 er janvier 1994 de la loi fédérale du 4 octobre 1991 sur le droit foncier rural (LDFR; RS 211.412.11), conférait aux cohéritiers le droit de réclamer leur quote-part du gain, lorsqu'un immeuble faisant partie d'une succession paysanne et attribué à un héritier était aliéné ou exproprié, en tout ou partie au cours des vingt-cinq années qui suivaient le partage effectif, ce pour autant que le prix d'attribution ait été fixé non pas à la valeur vénale, mais à une valeur inférieure. Ce droit figure depuis lors aux art. 28 et ss LDFR. Aux termes de l’art. 28 LDFR, si une entreprise ou un immeuble agricoles sont attribués à un héritier dans le partage successoral à une valeur d’imputation inférieure à la valeur vénale, tout cohéritier a droit, en cas d’aliénation, à une part du gain proportionnelle à sa part héréditaire (al. 1). Tout cohéritier peut faire valoir son droit de manière indépendante. Ce droit est transmissible par succession et cessible (al. 2). Le droit n’existe que si l’héritier aliène l’entreprise ou l’immeuble dans les 25 ans qui suivent sa propre acquisition (al. 3). Sans doute, il a été jugé que, d'un point de vue fiscal, le droit au gain, tout au moins lors de la naissance de celui-ci, avait le même effet générateur d'impôt que le versement en espèces en échange de la cession d'une part d’une propriété commune sur un immeuble indivis (arrêt FI.1994.0133 du 28 février 1998). Toutefois, selon la Circulaire de l’Administration fédérale des contributions n°38 du 17 juillet 2013, les éventuels bénéfices en capital tirés de l’aliénation d’un immeuble agricole ou sylvicole reviennent en totalité à l’aliénateur; les ayants-droit obtiennent ainsi leur part nette au bénéfice en tant qu’accroissement non imposable de fortune (ch. 3.5). Il semble dès lors que, dans une situation de ce genre, l’intégralité du gain soit imposable chez l’aliénateur, le titulaire du droit au gain percevant, pour sa part, un montant net d’impôt. Un problème subsiste en l’occurrence, dans la mesure où la quotité du droit constitué en faveur de E.________ a été définie dans l’acte, 100'000 fr., alors que ce dernier aurait dû, dans l’esprit de l’art. 619 aCC comme dans celui de l’art, 28 al. 1 LDFR, se voir attribuer une quote-part du gain, calculée sur la valeur vénale du bien au moment de sa vente. c) Quoi qu’il en soit de cette question, qui peut demeurer indécise, il appert de toute façon que la preuve du lien de causalité entre cette charge et le versement de 100'000 Euros opéré au crédit du compte de I.________ et E.________ le 22 août 2011 n’est pas rapportée. La recourante n’est pas parvenue en effet à dissiper les doutes qui subsistent sur ce point. On relève en premier lieu qu’aux termes de l’art. 3 de l’acte du</w:t>
      </w:r>
    </w:p>
    <w:p>
      <w:r>
        <w:rPr>
          <w:b/>
        </w:rPr>
        <w:t>E. 3</w:t>
      </w:r>
    </w:p>
    <w:p>
      <w:r>
        <w:t>Le contribuable exonéré de l'impôt sur le revenu et sur le bénéfice (art. 61, al. 1, litt. c) ne peut pas se prévaloir d'une estimation fiscale comme prix d'acquisition.</w:t>
      </w:r>
    </w:p>
    <w:p>
      <w:r>
        <w:rPr>
          <w:b/>
        </w:rPr>
        <w:t>E. 4</w:t>
      </w:r>
    </w:p>
    <w:p>
      <w:r>
        <w:t>[…].</w:t>
      </w:r>
    </w:p>
    <w:p>
      <w:r>
        <w:rPr>
          <w:b/>
        </w:rPr>
        <w:t>E. 5</w:t>
      </w:r>
    </w:p>
    <w:p>
      <w:r>
        <w:t>La recourante fait cependant valoir à titre d’impense déductible du gain imposable le montant de 100'000 fr., dû à E.________. Elle se fonde à cet égard sur l’art. 3 de l’acte du 10 février 1984, qui prévoit qu’en cas d’aliénation par eux de la parcelle ********, C.________ et D.________ s’engagent à verser à leur frère E.________ un montant de 100'000 fr., dans les trente jours suivant l’inscription du transfert au Registre foncier. a) Le gain immobilier imposable est constitué de la différence entre le produit de l'aliénation et le prix d'acquisition augmenté des dépenses d'investissement (cf. Zwahlen/Nyffenegger, op. cit., ad art. 12 LHID, n° 43). La base d'imposition ainsi déterminée s'applique à un immeuble demeuré le même entre son acquisition et son aliénation, quant à sa contenance et ses qualités juridiques ( «Kongruenzprinzip» ; cf., Zwahlen/Nyffenegger, op. cit., n° 45, Peter Locher, Das Objekt der bernischen Grundstückgewinnsteuer, thèse Berne 1976, p. 67). Ces notions, et notamment celle de dépenses d’investissement, ne sont pas détaillées dans la LHID. Les cantons sont donc en principe libres de déterminer les dépenses pouvant être prises en considération à ce titre (ATF 143 II 396 consid. 2.4 p. 401; arrêt 2C_119/2009 du 29 mai 2009 consid. 2.1). D'après la jurisprudence, la notion d'impenses se réfère aux dépenses apportant une plus-value à l'immeuble (ATF 143 II 382, consid. 4.2.1 p. 389; arrêts 2C_674/2014 du 11 février 2015, in ASA 83 p. 614, consid. 3.3; 2C_398/2009 du 16 novembre 2009 consid. 2.4; 2C_288/2007 du 19 décembre 2007, in RtiD 2008 I p. 971). Les dépenses doivent en outre avoir été effectivement versées par l'aliénateur (principe de la comptabilisation des coûts effectifs: ATF 143 II 382 consid. 4.2.2 p. 390; arrêts 2C_817/2014 du 25 août 2015 in RDAF 2016 II p. 11 consid. 2.2.3; 2C_77/2013 du 6 mai 2013 in StE 2013 B 44.12.3 n°</w:t>
      </w:r>
    </w:p>
    <w:p>
      <w:r>
        <w:rPr>
          <w:b/>
        </w:rPr>
        <w:t>E. 7</w:t>
      </w:r>
    </w:p>
    <w:p>
      <w:r>
        <w:t>consid. 4.2) et être en relation étroite avec l'aliénation du bien immobilier (ATF 143 II 382 précité, consid. 4.3 p. 391; arrêts 2C_817/2014 précité, consid. 2.2.2; 2C_674/2014 précité, consid. 3.2; 2C_44/2008 du 28 juillet 2008 consid. 2.1 in RDAF 2008 II 497; cf. ég. Zwahlen/Nyffenegger, op. cit., n° 58 ad art. 12 LHID). Les frais donnant une plus-value à l'immeuble s'opposent en revanche aux frais nécessaires à l'entretien des immeubles (privés) du contribuable, lesquels sont déductibles du revenu et ne peuvent dès lors être considérés comme appartenant aux impenses déductibles du gain immobilier (art. 36 let. b LI; v. également art. 32 al. 2 de la loi fédérale du 14 décembre 1990 sur l'impôt fédéral direct [LIFD; RS 642.11]; ATF 143 II 396 précité, consid.</w:t>
      </w:r>
    </w:p>
    <w:p>
      <w:r>
        <w:rPr>
          <w:b/>
        </w:rPr>
        <w:t>E. 10</w:t>
      </w:r>
    </w:p>
    <w:p>
      <w:r>
        <w:t>février 1984, C.________ et D.________ se sont engagés à verser à leur frère E.________ un montant de 100'000 fr., en cas d’aliénation par eux de la parcelle n°******** et ce, dans les trente jours suivant l’inscription du transfert au Registre foncier. A ce moment-là, tous deux faisaient l’acquisition de cette parcelle en propriété commune, comme on l’a vu plus haut. Or, C.________ et les héritiers de son frère D.________ ont mis fin à cette propriété commune le 18 juillet 2008, le premier nommé devant le propriétaire unique de cette parcelle. Cette cession en lieu de partage constitue une aliénation qui aurait dû conduire, en exécution de l’acte du 10 février 1984, F.________ et G.________ à verser 50'000 fr. à leur oncle E.________. Ceci nonobstant, l’acte du 18 juillet 2008 est muet à cet égard. Aucune raison n’exigeait pourtant de C.________ qu’il s’acquitte seul de cette charge de 100'000 francs. A cela s’ajoute qu’à teneur de l’avis de débit produit, I.________ qui a été crédité d’un montant de 100'000 Euros, mais également son épouse I.________ E.________, bien qu’aucune charge n’ait été prévue en faveur de cette dernière dans l’acte précité. Le montant de 100'000 Euros représentait, au vu du taux de change de l’époque (€ 1 = CHF 1,14), un montant de 114'000 francs. On peine à cerner dans l’acte du 10 février 1984 une obligation que C.________ aurait contractée de verser, seul par surcroît, davantage que le montant de 100'000 fr., si ce n’est d’autres obligations dont on ignore la teneur; en effet, l’analyse du compte ouvert au ******** a révélé des mouvements pour un total de 200'000 Euros en faveur de E.________. Selon les explications de la recourante, C.________ voulait, ce faisant, tenir compte du temps écoulé entre l’acte du 10 février 1984 et la vente du 17 juin 2011. Il a toutefois été relevé plus haut que le droit de E.________ au gain, tel qu’il avait apparemment été défini par les parties au premier des deux actes, ne tenait pas compte de la valeur vénale du bien au moment de sa vente. Du reste, la recourante n’a pas été en mesure de donner suite à l’invitation qui lui a été faite par l’autorité de taxation, le 21 septembre 2012, de produire la déclaration de revenu de E.________. Enfin, H.________ a été inscrite comme propriétaire au Registre foncier le 23 juin 2011; or, le versement en faveur des époux E.________ est intervenu le 22 août 2011, soit cinquante-neuf jours après l’inscription du transfert de propriété. Au vu de ce qui précède, c’est à juste titre que l’autorité intimée a refusé d’accueillir la demande de la recourante. Il appert en effet que la preuve que C.________ s’est acquitté de tout ou partie de la charge de 100'000 fr. en faveur de son frère E.________, d’une part, et que le versement de 100'000 Euros effectué le 22 août 2011 était inséparablement lié à l'acquisition ou à l'aliénation de la parcelle n°********, d’autre part, n’a pas été rapportée. 7. Les considérants qui précèdent conduisent par conséquent au rejet du recours et à la confirmation de la décision attaquée. Les frais de justice seront mis à la charge de la recourante, qui succombe (cf. art. 49 al. 1, 91 et 99 LPA-VD). Pour les mêmes raisons,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