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FI.2017.0013 vom 25. September 2017</w:t>
      </w:r>
    </w:p>
    <w:p>
      <w:r>
        <w:t>VD Tribunal cantonal, 2017-09-25, FR</w:t>
      </w:r>
    </w:p>
    <w:p>
      <w:r>
        <w:rPr>
          <w:b/>
        </w:rPr>
        <w:t xml:space="preserve">Quelle: </w:t>
      </w:r>
      <w:r>
        <w:t>https://mcp.opencaselaw.ch/entscheid/vd_omni_FI.2017.0013</w:t>
      </w:r>
    </w:p>
    <w:p>
      <w:r>
        <w:t>FR: VD_OMNI FI.2017.0013 du 25 septembre 2017</w:t>
      </w:r>
    </w:p>
    <w:p>
      <w:r>
        <w:t>IT: VD_OMNI FI.2017.0013 del 25 settembre 2017</w:t>
      </w:r>
    </w:p>
    <w:p>
      <w:pPr>
        <w:pStyle w:val="Heading2"/>
      </w:pPr>
      <w:r>
        <w:t>Regeste</w:t>
      </w:r>
    </w:p>
    <w:p>
      <w:r>
        <w:t>A.________/POLICE CANTONALE | Confirmation de la décision de la Police cantonale mettant à la charge de la recourante un émolument de 130.65 fr. pour l'intervention de quatre patrouilles de gendarmes contre des jeunes provoquant du tapage nocturne, dont la recourante. Le montant reclamé à la recourante en contre-partie d'une intervention de police destinée à rétablir l'ordre et la tranquilité publics est une taxe causale qui repose sur une base légale formelle permettant de sanctionner le perturbateur par comportement ayant donné lieu à l'intervention de l'administration. Elle est différente de la contravention au règlement communal de police mis à la charge de la recourante par sentence municipale et qui a un caractère pénal. Le montant de la taxe est pour le surplus conforme aux principes de l'équivalence, de la couverture des frais et de la proportionalité. Rejet du recours.</w:t>
      </w:r>
    </w:p>
    <w:p>
      <w:pPr>
        <w:pStyle w:val="Heading2"/>
      </w:pPr>
      <w:r>
        <w:t>Erwägungen</w:t>
      </w:r>
    </w:p>
    <w:p>
      <w:r>
        <w:rPr>
          <w:b/>
        </w:rPr>
        <w:t>E. 1</w:t>
      </w:r>
    </w:p>
    <w:p>
      <w:r>
        <w:t>Aux termes de l’art. 92 al. 1 de la loi cantonale du 26 octobre 2008 sur la procédure administrative (LPA-VD; RSV 173.36), le Tribunal cantonal connaît des recours contre les décisions et décisions sur recours rendues par les autorités administratives, lorsque la loi ne prévoit aucune autre autorité pour en connaître. La décision attaquée dans le cas d’espèce a été prise en application de la loi du 17 novembre 1975 sur la police cantonale (LPol; RSV 133.11), laquelle ne prévoit aucune autorité de recours. Par conséquent, le tribunal est bien compétent pour connaître du recours. Au surplus, celui-ci a été interjeté dans la forme (art. 79 al. 1 et 99 LPA-VD) et le délai (art. 95 LPA-VD) prévus par la loi; il y a donc lieu d’entrer en matière.</w:t>
      </w:r>
    </w:p>
    <w:p>
      <w:r>
        <w:rPr>
          <w:b/>
        </w:rPr>
        <w:t>E. 2</w:t>
      </w:r>
    </w:p>
    <w:p>
      <w:r>
        <w:t>p. 133; Blumenstein/Locher, op. cit., p. 2, 4 s.; Höhn/Waldburger, op. cit., n. 3 s. ad §1; Adrian Hungerbühler, Grundsätze des Kausalabgabenrechts, in : ZBl 2003 p. 505 ss, p. 507; Xavier Oberson, Droit fiscal suisse, 4 ème éd., Bâle 2012, nos 4,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 b)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citant la surveillance dont les banques ou les assurances font l'objet). Il est dû par l’administré qui a recours à un service public, que l’activité de l'Etat ait été déployée d’office ou que l’administré l’ait sollicitée, que l'administré en retire un avantage ou non (cf. Blaise Knapp, Précis de droit administratif, 4 ème éd., Bâle 1991, nos 2777 et 2780 p. 574 s., et les références citées; Hungerbühler, op. cit., p. 508 s.). Autre forme d'émolument, l'émolument de chancellerie est défini comme une contribution modique perçue pour rémunérer un acte de l'administration qui n'exige pas un examen ou un contrôle particulier (Oberson, op. cit., §1 n°7, réf. citées).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 la rémunération n'a plus le caractère d'un émolument de chancellerie (arrêt FI.2002.0031 du 21 mars 2003 consid. 1b/aa; ATF 126 I 180 consid. 2a p. 183; 104 Ia 113 consid. 3 p. 115; 93 I 632 précité, dans lequel le Tribunal fédéral a considéré que la rémunération due à l'autorité dans la procédure de censure cinématographique n'avait pas le caractère d'un simple émolument de chancellerie). c) Les différents types de contributions causales ont en commun d'obéir au principe de l'équivalence, qui est l'expression du principe de la proportionnalité en matière de contributions publiques, selon lequel le montant de la contribution exigée d'une personne déterminée doit être en rapport avec la valeur objective de la prestation fournie à celle-ci (rapport d'équivalence individuelle). En outre, la plupart des contributions causales, en particulier celles dépendant des coûts, à savoir celles qui servent à couvrir certaines dépenses de l'Etat, telles que les émoluments et les charges de préférence, doivent respecter le principe de la couverture des frais. Selon ce principe, le produit global des contributions ne doit pas dépasser, ou seulement de très peu, l'ensemble des coûts engendrés par la subdivision concernée de l'administration (Blumenstein/Locher, op. cit., p. 2 s.; Hungerbühler, op. cit., p. 512; cf. aussi ATF 135 I 130 consid. 2 p. 134; 129 I 346 consid. 5.1 p. 354). d) Dans le cas d'espèce, le montant réclamé à la recourante en contrepartie d'une intervention de police destinée à rétablir l’ordre et la tranquillité publics constitue clairement une taxe causale, plus précisément un émolument administratif ordinaire. En effet, les tâches dévolues à l'autorité dans une situation de ce type sont trop complexes pour que l'on puisse admettre que l'on se trouve dans le cas d'un simple émolument de chancellerie (dans le même sens, arrêts FI.2016.0088 du 4 octobre 2016; GE.2007.0155 du 18 janvier 2008).</w:t>
      </w:r>
    </w:p>
    <w:p>
      <w:r>
        <w:rPr>
          <w:b/>
        </w:rPr>
        <w:t>E. 3</w:t>
      </w:r>
    </w:p>
    <w:p>
      <w:r>
        <w:t>a) On rappelle au préalable que l’art. 1 er al. 1 LPol confie à la police cantonale la mission générale d'assurer, dans les limites de la loi, le maintien de la sécurité et de l'ordre publics. La modification législative du 31 mars 2009, entrée en vigueur le 1er juillet 2009, a introduit l’art. 1b LPol, qui constitue la base légale, qui jusqu’alors faisait défaut (v. arrêts GE.2007.0251 du 19 février 2008; GE.2007.0155, déjà cité), permettant à la police cantonale de prélever des frais pour son intervention, lorsque la responsabilité des administrés est reconnue, en particulier lorsque leur comportement a mis en péril la stabilité de l’Etat ou les intérêts de tiers (cf. Exposé des motifs et projet de loi modifiant la LPol en vue de percevoir des frais d’intervention, juillet 2008, n°98, p. 4). En application de l’art. 1b al. 1 LPol, la police cantonale est ainsi autorisée à percevoir des frais pour son intervention, dans le cas où le comportement d'un administré contrevient aux règles fédérales et cantonales ou prévues par des dispositions communales; cette perception est effectuée une fois que l'éventuel jugement est définitif et exécutoire. Au sujet de cette disposition, l'exposé des motifs précise notamment ce qui suit (ibid.): "Par intervention, il faut entendre d'une part, le déplacement des services de police, mais également tout le temps passé à la gestion du cas d'espèce, à savoir, entre autres, celui passé sur place à couvrir l'événement et rétablir l'autorité judiciaire, préfectorale ou communale. Le matériel utilisé (p. ex. test à l'éthylomètre) est aussi pris en compte. En outre, cette disposition répond à la nécessité de répercuter les frais sur l'administré dont le comportement a engendré l'intervention des services de police. 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de ce perturbateur (arrêt GE.2006.0137; GE.2006.0129). 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 b) ll découle de ce qui précède que l'art. 1b al. 1 LPol définit clairement la qualité du contribuable quant aux frais d'intervention de la police puisqu'il mentionne l'administré dont le comportement a engendré l'intervention, à savoir le perturbateur par comportement. La jurisprudence le définit comme celui qui a occasionné un dommage ou un danger par lui-même ou par le comportement d'un tiers relevant de sa responsabilité (ATF 139 II 106 consid. 3.1.1 p. 109; 127 I 60 consid. 5c p. 71; 122 II 65 consid. 6a p. 70). Selon l'art. 1b al. 1 LPol, il faut en outre que cette personne ait eu un comportement fautif et qu'elle ait été poursuivie pénalement et condamnée de ce fait (arrêt du Tribunal fédéral 2C_780/2015 du 29 mars 2016 consid. 3.3; arrêt CDAP FI.2016.0088 du 4 octobre 2016). c) L’art. 1b al. 3 LPol précise que les frais peuvent être perçus sous forme de forfait (1 ère phrase). Le montant maximal de celui-ci est de 3'000 fr. (2 ème phrase). Les frais d'intervention de la police cantonale font l'objet de tarifs fixés par le Conseil d'Etat (art. 1b al. 5 LPol). L'art. 1 er let. A du règlement du 23 mars 1995 fixant les frais dus pour certaines interventions de la police cantonale (RE-Pol; RSV 133.12.1) prévoit, au ch. 1, un tarif horaire par homme (de 45 à 120 fr.) et par véhicule (de 1 fr.10 à 2 fr.50) engagés, et au ch. 3, le prélèvement d'un forfait d'un montant de 200 fr. à 1'000 fr. auprès de chaque contrevenant ayant généré l'intervention des services de police pour troubles à l'ordre public, notamment. L'autorité de céans a déjà eu l'occasion de confirmer que le principe d'une facturation forfaitaire était admissible puisqu'il permettait d'éviter les inéquités engendrées par un calcul individualisé (v. arrêt GE.2001.0111 du 3 novembre 2005).</w:t>
      </w:r>
    </w:p>
    <w:p>
      <w:r>
        <w:rPr>
          <w:b/>
        </w:rPr>
        <w:t>E. 4</w:t>
      </w:r>
    </w:p>
    <w:p>
      <w:r>
        <w:t>voitures et de 8 gendarmes, de sorte que l'émolument de 130.65 répercuté sur la recourante n'apparaît pas comme étant disproportionné en l'espèce. La recourante ne met d'ailleurs pas formellement en cause le mode de calcul utilisé par l'autorité intimée.</w:t>
      </w:r>
    </w:p>
    <w:p>
      <w:r>
        <w:rPr>
          <w:b/>
        </w:rPr>
        <w:t>E. 5</w:t>
      </w:r>
    </w:p>
    <w:p>
      <w:r>
        <w:t>Il suit de ce qui précède que le recours doit être rejeté et la décision attaquée, confirmée. Le sort du recours commande que la recourante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