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FI.2017.0003 vom 6. Februar 2017</w:t>
      </w:r>
    </w:p>
    <w:p>
      <w:r>
        <w:t>VD Tribunal cantonal, 2017-02-06, FR</w:t>
      </w:r>
    </w:p>
    <w:p>
      <w:r>
        <w:rPr>
          <w:b/>
        </w:rPr>
        <w:t xml:space="preserve">Quelle: </w:t>
      </w:r>
      <w:r>
        <w:t>https://mcp.opencaselaw.ch/entscheid/vd_omni_FI.2017.0003</w:t>
      </w:r>
    </w:p>
    <w:p>
      <w:r>
        <w:t>FR: VD_OMNI FI.2017.0003 du 6 février 2017</w:t>
      </w:r>
    </w:p>
    <w:p>
      <w:r>
        <w:t>IT: VD_OMNI FI.2017.0003 del 6 febbraio 2017</w:t>
      </w:r>
    </w:p>
    <w:p>
      <w:pPr>
        <w:pStyle w:val="Heading2"/>
      </w:pPr>
      <w:r>
        <w:t>Regeste</w:t>
      </w:r>
    </w:p>
    <w:p>
      <w:r>
        <w:t>A.________/Municipalité de Jorat-Menthue | Recours contre un courrier de la municipalité annonçant un changement de pratique dans le calcul de la taxe d'épuration des eaux, interjeté directement devant la CDAP, au motif que l'acte attaqué constituerait une décision de portée générale. Un tel prononcé est toutefois une décision au sens des art. 3 LPA-VD et 45 al. 2 LICom. Par conséquent, à supposer que l'acte attaqué constitue une décision de portée générale, il devait être contesté préalablement devant la commission communale de recours en matière de contributions. Recours déclaré irrecevable et transmission de la cause à cette autorité comme objet de sa compétence.</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Sont également des décisions les décisions incidentes, les décisions sur réclamation ou sur recours, les décisions en matière d'interprétation ou de révision.</w:t>
      </w:r>
    </w:p>
    <w:p>
      <w:r>
        <w:rPr>
          <w:b/>
        </w:rPr>
        <w:t>E. 3</w:t>
      </w:r>
    </w:p>
    <w:p>
      <w:r>
        <w:t>En l'occurrence, il découle de ce qui précède que si l'acte attaqué constitue une décision de portée générale, comme le soutient l'autorité intimée, il peut faire l'objet d'un recours à la Commission communale de recours en matière d'impôts et de taxes de la Commune de Jorat-Menthue. Le Tribunal cantonal ne peut dans ce cas être saisi d'un recours qu'après que ladite commission communale de recours ait statué (cf. arrêt FI.2014.0141 du 5 janvier 2015). Formé directement auprès du Tribunal cantonal, le recours est partant irrecevable. Le fait qu'il soit indiqué au pied de l'acte attaqué qu'il peut faire l'objet d'un recours à la cour de céans n'y change rien, car une indication inexacte de la voie de droit ne saurait modifier l'organisation prévue par la loi. Il convient par conséquent de transmettre la cause à la Commission communale de recours en matière d'impôts et de taxes de la Commune de Jorat-Menthue, comme objet de sa compétence. La recourante, qui, en vertu d'un principe général du droit découlant de l'art. 9 de la Constitution fédérale, ne doit subir aucun préjudice en raison d'une indication inexacte de la voie de droit (cf. ATF 138 I 49 consid. 8.3.2 p. 53), ne s'en trouve pas lésée, du moment notamment que le délai de recours est réputé sauvegardé, lorsqu'une partie s'adresse en temps utile à une autorité incompétente (cf. art. 20 al. 2 LPA-VD). Il appartiendra à la Commission communale de recours de trancher le point de savoir si l'acte attaqué constitue bel et bien une décision (de portée générale) sujette à recours, ou s'il s'agit d'une simple prise de position dépourvue d'effet juridique, seule la décision fixant la taxe pouvant dans ce cas faire l'objet d'un recours.</w:t>
      </w:r>
    </w:p>
    <w:p>
      <w:r>
        <w:rPr>
          <w:b/>
        </w:rPr>
        <w:t>E. 4</w:t>
      </w:r>
    </w:p>
    <w:p>
      <w:r>
        <w:t>Le recours doit ainsi être déclaré irrecevable. La cause est transmise à la Commission communale de recours en matière d’impôts et de taxes de la Commune de Jorat-Menthue, comme objet de sa compétence. Il est statué sans frais; il n'y a pas lieu d’allouer des dépens (cf. art. 49 à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