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FI.2016.0146 vom 13. November 2017</w:t>
      </w:r>
    </w:p>
    <w:p>
      <w:r>
        <w:t>VD Tribunal cantonal, 2017-11-13, FR</w:t>
      </w:r>
    </w:p>
    <w:p>
      <w:r>
        <w:rPr>
          <w:b/>
        </w:rPr>
        <w:t xml:space="preserve">Quelle: </w:t>
      </w:r>
      <w:r>
        <w:t>https://mcp.opencaselaw.ch/entscheid/vd_omni_FI.2016.0146</w:t>
      </w:r>
    </w:p>
    <w:p>
      <w:r>
        <w:t>FR: VD_OMNI FI.2016.0146 du 13 novembre 2017</w:t>
      </w:r>
    </w:p>
    <w:p>
      <w:r>
        <w:t>IT: VD_OMNI FI.2016.0146 del 13 novembre 2017</w:t>
      </w:r>
    </w:p>
    <w:p>
      <w:pPr>
        <w:pStyle w:val="Heading2"/>
      </w:pPr>
      <w:r>
        <w:t>Regeste</w:t>
      </w:r>
    </w:p>
    <w:p>
      <w:r>
        <w:t>A.________, B.________/Administration cantonale des impôts | Les conditions de la réduction de 50% de l'impôt sur les donations dû sur le transfert d'une participation dans une société de capitaux ne sont pas réalisées, dès lors qu'aucune des deux recourantes n’a acquis, ensuite d'une donation faite par leur mère, une participation atteignant 40% au moins; toutes deux ont en effet reçu des actions représentant une part de 33,14% du capital-actions. Par ailleurs, il n'existe pas de base légale permettant d'accorder a posteriori cette réduction quand un héritier ou donataire qui ne détenait pas initialement, à la suite d'un premier transfert, 40% du capital atteint ultérieurement, après un ou plusieurs autres transferts, le seuil en question.</w:t>
      </w:r>
    </w:p>
    <w:p>
      <w:pPr>
        <w:pStyle w:val="Heading2"/>
      </w:pPr>
      <w:r>
        <w:t>Erwägungen</w:t>
      </w:r>
    </w:p>
    <w:p>
      <w:r>
        <w:rPr>
          <w:b/>
        </w:rPr>
        <w:t>E. 1</w:t>
      </w:r>
    </w:p>
    <w:p>
      <w:r>
        <w:t>a) Le présent litige a trait à l’impôt sur les donations. L’art. 53 LMSD prescrit à cet égard que les dispositions de la loi sur les impôts directs cantonaux relatives au droit de recours s'appliquent par analogie au recours contre les décisions sur réclamation (1 ère phrase). Pour le surplus, la loi sur la procédure administrative est applicable (2 ème phrase). Aux termes de l’art. 199 de la loi cantonale du 4 juillet 2000 sur les impôts directs (LI; RSV 642.11), le recours au Tribunal cantonal s'exerce conformément à la loi sur la procédure administrative. En l’espèce, le recours ayant été interjeté dans la forme prescrite (art. 79 de la loi cantonale du 28 octobre 2008 sur la procédure administrative [LPA-VD; RSV 173.36]) et le délai de trente jours (art. 95 LPA-VD), il y a lieu d’entrer en matière. b) Les conclusions IV et V prises par les recourantes sont de nature constatatoire. De jurisprudence constante, les conclusions constatatoires sont subsidiaires par rapport aux conclusions condamnatoires ou formatrices  (ATF 141 II 113 consid. 1.7 p. 123). De même, selon l'art. 3 al. 3 LPA-VD, une décision constatant l'existence, l'inexistence ou l'étendue de droits et obligations ne peut être rendue que si une décision ayant notamment pour objet de créer, de modifier ou d'annuler des droits et obligations ne peut pas l'être. En ce sens, une décision constatatoire a un caractère subsidiaire. Le prononcé d'une telle décision suppose que le justiciable y ait un intérêt digne de protection, ce qui n'est pas le cas si cet intérêt peut tout aussi bien être sauvegardé par une décision formatrice (cf. ATF 126 II 300 consid. 2c p. 303). En matière fiscale, la pratique administrative est dans une large mesure opposée au droit à l'obtention d'une décision de constatation (François Bellanger, in Les procédures en droit fiscal, 3e éd., 2015, p. 72). En l'occurrence, une conclusion subsidiaire a été prise au terme de la réclamation. Dans la décision sur réclamation dont est recours, l'autorité intimée s'est prononcée sur cette conclusion subsidiaire, en la rejetant (cf. en part. ch. 10 et suivant). La question de savoir si les recourantes ont un intérêt digne de protection au prononcé d'une décision en constatation peut demeurer indécise, la décision attaquée devant de toute manière être confirmée en tant qu'elle se prononce sur la conclusion en constat.</w:t>
      </w:r>
    </w:p>
    <w:p>
      <w:r>
        <w:rPr>
          <w:b/>
        </w:rPr>
        <w:t>E. 2</w:t>
      </w:r>
    </w:p>
    <w:p>
      <w:r>
        <w:t>a) On rappelle à titre préliminaire que le principe de la légalité régit l'ensemble de l'activité de l'État (cf. art. 5 al. 1 et 36 al. 1 Cst.; voir aussi art. 164 Cst. ). Il revêt une importance particulière en droit fiscal où il est érigé en droit constitutionnel indépendant à l' art. 127 al. 1 Cst. Cette norme - qui s'applique à toutes les contributions publiques - prévoit en effet que les principes généraux régissant le régime fiscal, notamment la qualité de contribuable, l'objet de l'impôt et son mode de calcul, doivent être définis par la loi (ATF 143 I 220 consid. 5.1 p. 224; arrêts 2C_615/2010 du 24 novembre 2010 consid. 3.2; 2C_625/2008 du 30 janvier 2009 consid. 6.2). b) Une exception au principe de l'imposition doit nécessairement reposer sur une base légale (v. sur ce point, Peter Locher, Legalitätsprinzip im Steuerrecht, in : Archives n° 60, p. 1 et ss, not. 13 à 15, références citées). Dans sa jurisprudence, le Tribunal administratif a constamment retenu que la liste des exonérations contenue dans la LMSD était exhaustive; les exceptions qui y sont prévues ne peuvent être étendues à des cas semblables, par une interprétation extensive ou par analogie (v. arrêts FI.2001.0107 du 22 avril 2002; FI.1997.0110 du 23 septembre 1997; FI.1996.0027 du 30 octobre 1996; FI.1991.0053 du 14 mai 1992; FI.1991.0024 du 25 novembre 1991). Cette jurisprudence a été reprise à son compte par la Cour de céans (arrêt FI.2013.0024 du 17 septembre 2014). Cette solution apparaît comme seule conforme au principe selon lequel, en matière fiscale, s'agissant d'un système d'imposition générale, une règle à caractère exceptionnel doit être interprétée de manière restrictive (arrêt FI.1991.0053, déjà cité; cf. aussi ATF 142 II 197 consid. 5.6 p. 204; 139 II 363 consid. 2.2 p. 367).</w:t>
      </w:r>
    </w:p>
    <w:p>
      <w:r>
        <w:rPr>
          <w:b/>
        </w:rPr>
        <w:t>E. 3</w:t>
      </w:r>
    </w:p>
    <w:p>
      <w:r>
        <w:t>La même réduction est consentie pour les participations à une holding. L'abattement ne porte toutefois que sur la valeur de l'entreprise détenue par la société holding, aux conditions prévues à l'alinéa 2.</w:t>
      </w:r>
    </w:p>
    <w:p>
      <w:r>
        <w:rPr>
          <w:b/>
        </w:rPr>
        <w:t>E. 4</w:t>
      </w:r>
    </w:p>
    <w:p>
      <w:r>
        <w:t>De même, lorsqu'un donataire devient plus tard héritier ou légataire du donateur, il est tenu compte des donations antérieures, y compris les donations exonérées de l'impôt en application des dispositions de l'article 16, lettres a et b, pour le calcul du taux d'imposition sur la succession ou le legs et, le cas échéant, pour le dégrèvement.</w:t>
      </w:r>
    </w:p>
    <w:p>
      <w:r>
        <w:rPr>
          <w:b/>
        </w:rPr>
        <w:t>E. 5</w:t>
      </w:r>
    </w:p>
    <w:p>
      <w:r>
        <w:t>Il suit de ce qui précède que le recours doit être rejeté et la décision attaquée, confirmée. Vu le sort du recours, les recourantes, qui succombent, supporteront les frais de la procédure, solidairement entre elles (art. 49 al. 1, 51 al. 2,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