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FI.2016.0109 vom 26. September 2017</w:t>
      </w:r>
    </w:p>
    <w:p>
      <w:r>
        <w:t>VD Tribunal cantonal, 2017-09-26, FR</w:t>
      </w:r>
    </w:p>
    <w:p>
      <w:r>
        <w:rPr>
          <w:b/>
        </w:rPr>
        <w:t xml:space="preserve">Quelle: </w:t>
      </w:r>
      <w:r>
        <w:t>https://mcp.opencaselaw.ch/entscheid/vd_omni_FI.2016.0109</w:t>
      </w:r>
    </w:p>
    <w:p>
      <w:r>
        <w:t>FR: VD_OMNI FI.2016.0109 du 26 septembre 2017</w:t>
      </w:r>
    </w:p>
    <w:p>
      <w:r>
        <w:t>IT: VD_OMNI FI.2016.0109 del 26 settembre 2017</w:t>
      </w:r>
    </w:p>
    <w:p>
      <w:pPr>
        <w:pStyle w:val="Heading2"/>
      </w:pPr>
      <w:r>
        <w:t>Regeste</w:t>
      </w:r>
    </w:p>
    <w:p>
      <w:r>
        <w:t>A.________/Municipalité de Coppet, Commission de recours en matière d'impôts de la Commune de Coppet | La perception d'une taxe communale compensatoire faisant suite à l'abattage d'un arbre sans autorisation est dépourvue de base légale. En effet, le droit cantonal ne prévoit la compensation par des plantations ou par le versement d'une taxe qu'en relation avec une autorisation d'abattage. Lorsque l'arbre est abattu sans autorisation, une telle compensation n'est pas prévue, mais le contrevenant encourt une amende. Dans la mesure où elle étend la faculté d'exiger des plantations compensatoires ou le paiement d'une taxe aux cas où l'arbre a été abattu sans autorisation, la réglementation communale, dont la municipalité a fait application dans le cas d'espèce, sort du cadre fixé par le droit cantonal. Admission du recours et annulation de la décision attaquée.</w:t>
      </w:r>
    </w:p>
    <w:p>
      <w:pPr>
        <w:pStyle w:val="Heading2"/>
      </w:pPr>
      <w:r>
        <w:t>Erwägungen</w:t>
      </w:r>
    </w:p>
    <w:p>
      <w:r>
        <w:rPr>
          <w:b/>
        </w:rPr>
        <w:t>E. 1</w:t>
      </w:r>
    </w:p>
    <w:p>
      <w:r>
        <w:t>Aux termes de l’art. 47a de la loi cantonale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La voie du recours au Tribunal cantonal est ouverte contre la décision de la commission communale de recours, conformément à l’art. 92 al. 1 de la loi cantonale du 28 octobre 2008 sur la procédure administrative (LPA-VD; RSV 173.36). Le recours dirigé contre la décision de la commission de recours intimée ayant été interjeté dans la forme prescrite (art. 79 LPA-VD) et le délai de trente jours (art. 95 LPA-VD), il y a lieu d’entrer en matière.</w:t>
      </w:r>
    </w:p>
    <w:p>
      <w:r>
        <w:rPr>
          <w:b/>
        </w:rPr>
        <w:t>E. 2</w:t>
      </w:r>
    </w:p>
    <w:p>
      <w:r>
        <w:t>Parmi les contributions publiques, la jurisprudence et la doctrine distinguent traditionnellement entre les impôts et les contributions causales (cf. ATF 135 I 130 consid. 2 p. 133; 121 I 235 consid. 3e p. 235 s.; Ernst Blumenstein/Peter Locher, System des schweizerischen Steuerrechts, 7 ème éd., Zurich 2016, p. 5 s.; Ernst Höhn/Robert Waldburger, Steuerrecht, vol. I, 9 ème éd., Berne/Stuttgart/Vienne 2001, n. 6 ad § 1; Jean-Marc Rivier, L'imposition du revenu et de la fortune, 2 ème éd., Lausanne 1998, p. 47; Walter Ryser/Bernard Rolli, Précis de droit fiscal suisse, 4 ème éd., Berne 2002, p. 3). 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 c'est-à-dire uniquement en fonction d'une certaine situation économique réalisée en la personne de l'assujetti, sans considération d'une prestation de l'Etat ou d'un avantage particulier consenti en sa faveur (cf. ATF 122 I 305 consid. 4b p. 309; parmi d'autres auteurs, cf. Xavier Oberson, Droit fiscal suisse, 4e éd., 2012, n. 24 ad §1). Pour leur part,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 1; Adrian Hungerbühler, Grundsätze des Kausalabgabenrechts, ZBl 2003 p. 505 ss, p. 507; Oberson, op. cit., n. 5,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Les contributions causales se subdivisent en différentes sous-catégories (cf. ATF 143 I 220 consid. 4.2 p. 222;  135 I 130 consid. 2 p. 133; Blumenstein/Locher, op. cit., p. 2 s.; Oberson, op. cit., n. 6s. ad §1; Hungerbühler, op. cit., p. 508 s.) qui comprennent les émoluments, les charges de préférence et les taxes de remplacement. Les contributions de remplacement présupposent l'existence d'une obligation primaire, soit d'une obligation de faire qui, à certaines conditions, puisse être remplacée par une prestation pécuniaire. Elles doivent compenser l'avantage que représente pour l'assujetti la dispense de l'obligation primaire et appartiennent par conséquent aux contributions causales (TF 2C_875/2016 du 10 octobre 2016 consid. 2.5; 2C_88/2009 du 19 mars 2010 consid. 5.4; 2P.338/2005 du 16 novembre 2006 consid. 5.1; 2P.337/2005 du 16 novembre 2006 consid. 5.1; cf. aussi ATF 97 I 792 consid. 6c; 2C_44/2016 du 29 août 2016 consid. 2.1; cf. en outre, Hungerbühler, op. cit., pp. 511, 527; René Wiederkehr/Paul Richli, Praxis des allgemeinen Verwaltungsrechts, Band II, Berne 2014, N. 943 p. 264 et les références). La doctrine et la jurisprudence y rangent notamment la taxe d'exemption du service militaire (ATF 121 II 166 consid. 4 p. 170), du service du feu (ATF 123 I 56), de construire des abris antiatomiques (ATF 112 Ib 358, 367) ou des places de stationnement (TF 2C_541/2008 du 13 novembre 2009, consid. 4.3; 2P.128/1999 du 18 août 1999 in ZBl 104/2003 p. 551; cf. Oberson, op. cit., n.9 ad §1). Toutefois, les frais de remplacement réels sont en grande partie indépendants des coûts et peuvent difficilement être mesurés selon les principes de la couverture des frais et de l'équivalence (TF 1P.693/2004 du 15 juillet 2005 consid. 4.2; Hungerbühler, op. cit., p. 512 et 518s.; cf. en outre arrêt 2C_21/2009 du 14 octobre 2009 consid. 2.2). L'avantage qui résulte de l’exemption de l'obligation primaire n’est en effet que rarement quantifiable. Il en résulte que la contribution de remplacement ne peut être mesurée efficacement en utilisant le principe d'équivalence ( Wiederkehr/Richli, op. cit., N. 946/947 ). Cet avantage peut consister dans l'économie par le contribuable des coûts liés à l'accomplissement de cette obligation, d'une part, et, dans certaines circonstances, dans le fait que celui-ci peut réaliser un bénéfice, par exemple une valeur plus élevée de la propriété, d’autre part (Wiederkehr/Richli, op. cit., N. 944, réf. citées).</w:t>
      </w:r>
    </w:p>
    <w:p>
      <w:r>
        <w:rPr>
          <w:b/>
        </w:rPr>
        <w:t>E. 3</w:t>
      </w:r>
    </w:p>
    <w:p>
      <w:r>
        <w:t>La recourante se plaint d’une violation du principe de la légalité; en substance, elle fait valoir qu’une contribution de remplacement ne pouvait pas être exigée de sa part, dès l’instant où aucune autorisation d’abattage du platane ne lui avait été délivrée. On rappelle au préalable que l'art. 127 al. 1 Cst.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s.). Il importe en effet que l'autorité exécutive ne dispose pas d'une marge de manœuvre excessive et que les citoyens puissent cerner les contours de la contribution qui pourra être prélevée sur cette base (ATF 136 I 142 consid. 3.1 p. 144 s.). Ces exigences valent en principe pour les impôts (cf.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(cf. ATF 135 I 130 consid. 7.2 p. 140). Le principe de la légalité ne doit toutefois pas être vidé de sa substance ni, inversement, être appliqué avec une exagération telle qu'il entre en contradiction irréductible avec la réalité juridique et les exigences de la pratique (ATF 143 I 220 consid. 5.1.1 pp. 224/225; 135 I 130 consid. 7.2 p. 140 et les références citées; Hungerbühler, op. cit., p. 516).</w:t>
      </w:r>
    </w:p>
    <w:p>
      <w:r>
        <w:rPr>
          <w:b/>
        </w:rPr>
        <w:t>E. 4</w:t>
      </w:r>
    </w:p>
    <w:p>
      <w:r>
        <w:t>a) La protection des arbres est assurée par la loi cantonale du 10 décembre 1969 sur la protection de la nature, des monuments et des sites (LPNMS; RSV 450.11). Faisant partie du chapitre II "Protection générale de la nature et des sites", l’art. 5 LPNMS prescrit que sont protégés les arbres, cordons boisés, boqueteaux et haies vives: qui sont compris dans un plan de classement cantonal ou qui font l'objet d'une décision de classement au sens de l'article 20 de la présente loi (let. a); que désignent les communes par voie de classement ou de règlement communal, et qui doivent être maintenus soit en raison de leur valeur esthétique, soit en raison des fonctions biologiques qu'ils assurent (let. b). Intitulé "Abattage des arbres protégés", l'art. 6 LPNMS a la teneur suivante: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possibilité de percevoir une taxe compensatoire a été introduite par la novelle du 28 février 1973. Il s'agissait de mettre sur un pied d'égalité le bénéficiaire de l'autorisation d'abattre qui était dispensé de l'obligation de procéder à des plantations de compensation,  parce que les circonstances ne le permettaient pas, avec celui qui y était tenu (Bulletin des séances du Grand Conseil automne 1972-février 1973, séance du 26 février 1973, p. 940). Faisant partie du chapitre X, intitulé "Contraventions", les art. 92 et suivant LPNMS ont la teneur suivante: "Art. 92 Celui qui contrevient à la présente loi ou à ses règlements d'application, ainsi qu'aux mesures prises en exécution de ces lois et règlements, est passible d'une amende pouvant s'élever jusqu'à vingt mille francs. La poursuite a lieu conformément à la loi sur les contraventions. Art. 93 La poursuite a lieu sans préjudice du droit de l'Etat d'exiger, selon les circonstances, la suppression ou la modification des travaux portant atteinte à l'objet protégé, ainsi que la remise des trouvailles." b) Le règlement d’application de la LPNMS, du 22 mars 1989 (RLPNMS; RSV 450.11.1) prévoit, à son art. 15 al. 1, que l'abattage ou l'arrachage des arbres, cordons boisés, boqueteaux, ou haies vives classés est autorisé par la municipalité lorsque: la plantation prive un local d'habitation préexistant de son ensoleillement normal dans une mesure excessive (ch. 1); la plantation nuit notablement à l'exploitation rationnelle d'un bien-fonds ou d'un domaine agricoles (ch. 2); le voisin subit un préjudice grave du fait de la plantation (ch. 3); des impératifs l'imposent tels que l'état sanitaire d'un arbre, la sécurité du trafic, la stabilité des rives bordant un cours d'eau, la création d'une route ou la canalisation d'un ruisseau (ch. 4). Dans la mesure du possible, la taille et l'écimage seront ordonnés en lieu et place de l'abattage ou de l'arrachage (al. 2). Les art. 16 et suivant RLPNMS ont la teneur suivante: "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Art. 17 Contribution de remplacement (loi, art. 6 al. 2) En cas d'impossibilité de remplacement, la municipalité peut prélever en lieu et place une contribution équitable correspondant aux objets enlevés, qu'elle doit affecter à des plantations de compensation. Le barème en est fixé par le règlement communal." c) Il ressort de ce qui précède que le droit cantonal prévoit la compensation par des plantations (compensation en nature) ou, si les circonstances ne le permettent pas, la perception d'une contribution aux frais d'arborisation (taxe compensatoire) en lien avec une autorisation d'abattage. Ainsi, l'alinéa 2 de l'art. 6 LPNMS, qui habilite les communes à exiger des plantations de compensation ou à percevoir une contribution aux frais d'arborisation, fait suite à l'alinéa 1er, lequel contient une énumération (non exhaustive) de situations dans lesquelles l'autorisation d'abattage devra être accordée. Le lien entre la compensation en nature ou le versement d'une taxe compensatoire, d'une part, et l'octroi d'une autorisation d'abattage, d'autre part, est particulièrement clair à la lecture de l'art. 16 al. 1 RLPNMS, aux termes duquel des plantations de compensation peuvent être exigées par la municipalité "en cas d'abattage ou d'arrachage justifié selon l'article 15 du présent règlement ", cette dernière disposition énumérant les situations dans lesquelles l'abattage ou l'arrachage est autorisé par la municipalité. Les dispositions précitées n'envisagent pas le cas où l'abattage a lieu sans autorisation. Dans cette situation, ce sont les dispositions sur les contraventions qui sont en revanche applicables: les contrevenants sont passibles d'une amende pouvant s'élever jusqu'à 20'000 fr. (art. 92 LPNMS). En revanche, l'art. 93 LPNMS, qui réserve le "droit de l'Etat d'exiger, selon les circonstances, la suppression ou la modification des travaux portant atteinte à l'objet protégé, ainsi que la remise des trouvailles" ne saurait être interprété en ce sens qu'il permet d'exiger des plantations de compensation, ce d'autant que c'est le droit du canton qui est réservé, alors que l'exigence de telles plantations est – comme l'octroi des autorisations d'abattage – du ressort des communes.</w:t>
      </w:r>
    </w:p>
    <w:p>
      <w:r>
        <w:rPr>
          <w:b/>
        </w:rPr>
        <w:t>E. 5</w:t>
      </w:r>
    </w:p>
    <w:p>
      <w:r>
        <w:t>RCPA a la teneur suivante: "L'autorisation d'abattage est assortie des conditions suivantes: - obligation pour le bénéficiaire de procéder, à ses frais, à une arborisation compensatoire déterminée d'entente avec la Municipalité (nombre, essence, taille, emplacement, surface, fonction, délai d'exécution), sauf lorsqu'il s'agit d'abattages rendus nécessaires pour "éclaircies" à l'intérieur de cordons boisés ou de boqueteaux trop denses, ainsi que pour favoriser le développement d'autres arbres; - en règle générale, cette arborisation compensatoire sera effectuée sur le fonds où est situé l'arbre à abattre. Toutefois, elle peut être faite sur une parcelle voisine, pour autant que son propriétaire s'engage à se substituer au bénéficiaire de l'autorisation; - l'arborisation compensatoire doit être conforme aux dispositions prévues dans le Code rural. - dans la règle, l'arborisation compensatoire comprend des essences semblables à celles qui ont été abattues; elle bénéficie d'une protection dès sa plantation et quel que soit son développement." L’art. 6 RCPA prévoit une taxe compensatoire, laquelle est définie de la manière suivante: "Lorsque les circonstances ne permettent pas une arborisation compensatoire équivalente, le bénéficiaire de l'autorisation d'abattage peut être astreint au paiement d'une taxe dont le produit, distinct des recettes générales de la commune, sera affecté aux opérations d'arborisation réalisées par la commune, à l'exception de celles à caractère forestier. Le montant de cette taxe, fixée par la Municipalité dans chaque cas, s'élève entre Fr. 200.- au minimum et Fr. 10’000.- au maximum. Il se calcule par rapport à la dimension, à l'espèce et à l'état sanitaire des arbres et arbustes abattus, sur la base des normes de l'Union suisse des services des parcs et promenades (USSP), en tenant compte des plantations compensatoires qui seront effectuées." Enfin, l’art. 11 RCPA, intitulé "Sanctions", dispose ce qui suit: "Celui qui contrevient au présent règlement est passible d'une amende en application de l'article 92 de la LPNMS. La poursuite a lieu conformément à la loi du 18 novembre 1969 sur les contraventions, sans préjudice au droit de la Municipalité d'exiger, selon les circonstances, le remplacement des plantations abattues ou détruites, ou le paiement de la taxe compensatoire."</w:t>
      </w:r>
    </w:p>
    <w:p>
      <w:r>
        <w:rPr>
          <w:b/>
        </w:rPr>
        <w:t>E. 6</w:t>
      </w:r>
    </w:p>
    <w:p>
      <w:r>
        <w:t>En l'occurrence, il résulte de ce qui précède que le platane en question était protégé, conformément aux art. 5 let. b LPNMS et 2 par. 2 RCPA, ce que la recourante ne conteste pas. Son abattage ne pouvait dès lors être autorisé par la Municipalité que si les conditions de l'art. 4 par. 2 RCPA étaient réalisées. Or, tel n’était pas le cas et du reste, le 13 février 2015, la Municipalité a expressément indiqué au mandataire de la recourante qu’elle refusait d’autoriser son abattage; faute de recours, cette décision est entrée en force. Ce nonobstant, le platane a été abattu en toute illégalité. La recourante répond à cet égard des manquements de son mandataire, comme des siens propres. Du reste, l'ordonnance pénale du 30 juillet 2015 n'a pas été frappée d'opposition et est entrée en force. Ainsi, il est constant qu’un arbre protégé a été abattu sans droit sur l’immeuble de la recourante. Le litige porte sur la taxe compensatoire mise à la charge de la recourante par décision de l'autorité concernée du 21 octobre 2015, confirmée par le prononcé de l'autorité intimée du 28 juin 2016. La décision du 21 octobre 2015 cite l'art. 6 RCPA. Celle du 28 juin 2016 se réfère à l'ordonnance pénale du 30 juillet 2015, en tant qu'elle réserve la perception d'une taxe compensatoire en vertu de l'art.</w:t>
      </w:r>
    </w:p>
    <w:p>
      <w:r>
        <w:rPr>
          <w:b/>
        </w:rPr>
        <w:t>E. 11</w:t>
      </w:r>
    </w:p>
    <w:p>
      <w:r>
        <w:t>RCPA. La décision attaquée ne peut se fonder sur l'art. 6 RCPA, qui prévoit que le "bénéficiaire de l'autorisation d'abattage peut être astreint au paiement d'une taxe", car la recourante n'était précisément pas au bénéfice d'une telle autorisation. Elle peut en revanche reposer sur l'art. 11 RCPA, qui réserve le "droit de la Municipalité d'exiger, selon les circonstances, le remplacement des plantations abattues ou détruites, ou le paiement de la taxe compensatoire", dans les cas de contravention audit règlement, soit notamment lorsque l'abattage a été effectué sans autorisation. La question est toutefois de savoir si cette disposition est conforme au droit cantonal. Comme on l'a vu plus haut (consid. 4c), le droit cantonal ne prévoit la compensation par des plantations ou par le versement d'une taxe qu'en relation avec une autorisation d'abattage. Tel est en particulier le cas de l'art. 6 al. 2 LPNMS, sur lequel le RCPA repose. Lorsque l'arbre est abattu sans autorisation, les contrevenants sont passibles d'une amende en vertu de l'art. 92 LPNMS. Par conséquent, dans la mesure où il étend le "droit" de la Municipalité d'exiger des plantations compensatoires ou le paiement d'une taxe aux cas où l'arbre a été abattu sans autorisation, en contravention au RCPA, l'art. 11 RCPA sort du cadre fixé par l'art. 6 al. 2 LPNMS et n'est, partant, pas conforme au droit cantonal. Il est d'ailleurs significatif que les autorités intimée et concernée qualifient la taxe litigieuse de sanction administrative, venant s'ajouter à la sanction pénale infligée sous la forme d'une amende (réponse, p. 8). Or, dans la systématique de la LPNMS, la taxe compensatoire n'a pas la nature d'une sanction, puisqu'elle est prévue à l'art. 6 al. 2, faisant partie du chapitre II "Protection générale de la nature et des sites"; elle n'apparaît pas en revanche au chapitre X relatif aux contraventions. Les autorités intimée et concernée font valoir qu'il serait absurde que celui qui a abattu un arbre sans autorisation soit mieux traité que le bénéficiaire d'une autorisation d'abattage en ce qui concerne l'obligation de compenser en nature ou par le paiement de la taxe. Si l'on peut comprendre cet argument jusqu'à un certain point, il ne faut pas perdre de vue que celui qui contrevient à la LPNMS en abattant un arbre sans autorisation encourt une amende. Le contrevenant est sanctionné de cette manière et se trouve dans cette mesure moins bien traité que le bénéficiaire d'une autorisation. Dans le cas particulier, l'amende a certes été fixée à un montant relativement modique (1'000 fr.) et, de plus, infligée non pas à la recourante, mais à l'associé-gérant président de son mandataire. Ladite sanction est toutefois entrée en force et ne fait pas l'objet de la présente procédure. Si l'on devait considérer que, dans la mesure où elle ne prévoit pas la compensation (en nature ou sous la forme d'une taxe) dans les cas de contravention, la loi cantonale est lacunaire, il appartiendrait au législateur cantonal de combler cette lacune. S'agissant de la taxe compensatoire, la Cour de céans peut d'autant moins le faire que le principe de la légalité revêt une importance particulière dans le domaine des impôts et des contributions causales (cf. consid. 3 ci-dessus). On ne saurait par ailleurs considérer que l'art. 11 RCPA, s'il ne peut reposer sur l'art. 6 al. 2 LPNMS, dispose d'une base légale à l'art. 4 LICom, disposition générale qui habilite les communes à percevoir des taxes spéciales en contrepartie de prestations ou avantages déterminés ou de dépenses particulières (al. 1). En effet, outre que le RCPA ne mentionne pas cette disposition comme base légale, l'art. 4 LICom pourrait fonder seulement la perception d'une taxe compensatoire, mais non l'obligation de procéder à des plantations compensatoires. Or, comme on l'a vu plus haut (consid. 2), l'une ne va pas sans l'autre, de sorte qu'on ne saurait faire reposer l'art. 11 RCPA sur l'art. 4 LICom. Dans ces conditions, une taxe compensatoire ne pouvait être perçue dans le cas particulier sur la base de l'art. 11 RCPA, qui n'est pas conforme au droit cantonal. La décision attaquée doit ainsi être annulée. 7. Les considérants qui précèdent conduisent le Tribunal à admettre le recours et à annuler la décision attaquée. Le présent arrêt sera rendu sans frais (cf. art. 49 al. 1 et 50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Si la partie a inutilement prolongé ou compliqué la procédure, ses dépens peuvent être réduits ou supprimés (art. 56 al. 1 LPA-VD). Selon la jurisprudence rendue en matière de droit des constructions, lorsque les constructeurs obtiennent gain de cause, il peut se justifier de réduire le montant des dépens auxquels ils ont droit, lorsque, notamment, ils portent une part de responsabilité dans le dépôt du recours en s'étant écartés sans autorisation du permis de construire (arrêt AC.2010.0213 du 15 septembre 2011). En l'occurrence, force est d'admettre que la présente procédure a son origine dans le fait que la recourante ou son mandataire – dont les actes lui sont opposables comme les siens propres – a fait abattre un arbre sans autorisation. En application de la jurisprudence précitée, il convient par conséquent de renoncer à l'allocation de dépens à la recourante et de compenser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