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FI.2016.0088 vom 4. Oktober 2016</w:t>
      </w:r>
    </w:p>
    <w:p>
      <w:r>
        <w:t>VD Tribunal cantonal, 2016-10-04, FR</w:t>
      </w:r>
    </w:p>
    <w:p>
      <w:r>
        <w:rPr>
          <w:b/>
        </w:rPr>
        <w:t xml:space="preserve">Quelle: </w:t>
      </w:r>
      <w:r>
        <w:t>https://mcp.opencaselaw.ch/entscheid/vd_omni_FI.2016.0088</w:t>
      </w:r>
    </w:p>
    <w:p>
      <w:r>
        <w:t>FR: VD_OMNI FI.2016.0088 du 4 octobre 2016</w:t>
      </w:r>
    </w:p>
    <w:p>
      <w:r>
        <w:t>IT: VD_OMNI FI.2016.0088 del 4 ottobre 2016</w:t>
      </w:r>
    </w:p>
    <w:p>
      <w:pPr>
        <w:pStyle w:val="Heading2"/>
      </w:pPr>
      <w:r>
        <w:t>Regeste</w:t>
      </w:r>
    </w:p>
    <w:p>
      <w:r>
        <w:t>A.________/POLICE CANTONALE, Municipalité d'Ogens | Confirmation de la facturation des frais d'intervention de la police au perturbateur par comportement (trouble à la tranquillité et à l'ordre publics). Peu importe que celui-ci ait été condamné à une amende à laquelle il ne s'est pas opposé; la procédure pénale et la sentence municipale doivent être distingués de la procédure administrative et de l'émolument administratif.</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Les décisions attaquées dans le cas d’espèce ont été prises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p. 133; Blumenstein/Locher, op. cit., p. 2, 4 s.; Höhn/Waldburger, op. cit., n. 3 s. ad §1; Adrian Hungerbühler, Grundsätze des Kausalabgabenrechts, in : ZBl 2003 p. 505 ss, p. 507;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n°7, réf. citées).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93 I 632 précité, dans lequel le Tribunal fédéral a considéré que la rémunération due à l'autorité dans la procédure de censure cinématographique n'avait pas le caractère d'un simple émolument de chancellerie). c)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135 I 130 consid. 2 p. 134; 129 I 346 consid. 5.1 p. 354). d) Dans le cas d'espèce, le montant réclamé au recourant en contrepartie d'une intervention de police destinée à rétablir l’ordre et la tranquillité publics constitue clairement une taxe causale, plus précisément un émolument administratif ordinaire. En effet, les tâches dévolues à l'autorité dans une situation de ce type sont trop complexes pour que l'on puisse admettre que l'on se trouve dans le cas d'un simple émolument de chancellerie (dans le même sens, arrêt GE.2007.0155 du 18 janvier 2008).</w:t>
      </w:r>
    </w:p>
    <w:p>
      <w:r>
        <w:rPr>
          <w:b/>
        </w:rPr>
        <w:t>E. 3</w:t>
      </w:r>
    </w:p>
    <w:p>
      <w:r>
        <w:t>a) On rappelle au préalable que l’art. 1 er al. 1 LPol confie à la police cantonale la mission générale d'assurer, dans les limites de la loi, le maintien de la sécurité et de l'ordre publics. La modification législative du 31 mars 2009, entrée en vigueur le 1er juillet 2009, a introduit l’art. 1b LPol, qui constitue la base légale, qui jusqu’alors faisait défaut (v. arrêts GE.2007.0251 du 19 février 2008; GE.2007.0155, déjà cité), permettant à la police cantonale de prélever des frais pour son intervention, lorsque la responsabilité des administrés est reconnue, en particulier lorsque leur comportement a mis en péril la stabilité de l’Etat ou les intérêts de tiers (cf. Exposé des motifs et projet de loi modifiant la LPol en vue de percevoir des frais d’intervention, juillet 2008, n°98, p. 4). En application de l’art. 1b al. 1 LPol, la police cantonale est ainsi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Au sujet de cette disposition, l'exposé des motifs précise notamment ce qui suit (ibid.):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b) ll découle de ce qui précède que l'art. 1b al. 1 LPol définit clairement la qualité du contribuable quant aux frais d'intervention de la police puisqu'il mentionne l'administré dont le comportement a engendré l'intervention, à savoir le perturbateur par comportement. La jurisprudence le définit comme celui qui a occasionné un dommage ou un danger par lui-même ou par le comportement d'un tiers relevant de sa responsabilité (ATF 139 II 106 consid. 3.1.1 p. 109; 127 I 60 consid. 5c p. 71; 122 II 65 consid. 6a p. 70). Selon l'art. 1b al. 1 LPol, il faut en outre que cette personne ait eu un comportement fautif et qu'elle ait été poursuivie pénalement et condamnée de ce fait (arrêt du Tribunal fédéral 2C_780/2015 du 29 mars 2016 consid. 3.3). c) L’art. 1b al. 3 LPol précise que les frais peuvent être perçus sous forme de forfait (1 ère phrase). Le montant maximal de celui-ci est de 3'000 fr. (2 ème phrase). Les frais d'intervention de la police cantonale font l'objet de tarifs fixés par le Conseil d'Etat (art. 1b al. 5 LPol). L'art. 1 er let. A du règlement du 23 mars 1995 fixant les frais dus pour certaines interventions de la police cantonale (RE-Pol; RSV 133.12.1) prévoit, au ch. 1, un tarif horaire par homme (de 45 à 120 fr.) et par véhicule (de 1 fr.10 à 2 fr.50) engagés, et au ch. 3, le prélèvement d'un forfait d'un montant de 200 fr. à 1'000 fr. auprès de chaque contrevenant ayant généré l'intervention des services de police pour troubles à l'ordre public, notamment. L'autorité de céans a déjà eu l'occasion de confirmer que le principe d'une facturation forfaitaire était admissible puisqu'il permettait d'éviter les inéquités engendrées par un calcul individualisé (v. arrêt GE.2001.0111 du 3 novembre 2005).</w:t>
      </w:r>
    </w:p>
    <w:p>
      <w:r>
        <w:rPr>
          <w:b/>
        </w:rPr>
        <w:t>E. 4</w:t>
      </w:r>
    </w:p>
    <w:p>
      <w:r>
        <w:t>a) En l’occurrence, il ne fait aucun doute que le comportement du recourant a généré l’intervention de police à son domicile le 8 mai 2016. Il ne peut le contester sérieusement, ceci d’autant moins qu’il n’a pas fait opposition à la sentence municipale du 6 juin 2016, prononcée à son encontre pour troubles à l’ordre et à la tranquillité publics, de sorte que la condamnation pénale est entrée en force. Perturbateur par comportement, le recourant doit par conséquent également être recherché pour le paiement des frais d’intervention de police. Il ne peut s’y opposer en invoquant le paiement de l’amende et des frais de procédure pénale. Comme l’observe l’autorité intimée, la contravention au règlement communal de police doit être distinguée de l’émolument de la police cantonale. Les explications du recourant ne peuvent être retenues. b) Quant au montant réclamé au recourant dans la décision attaquée, il échappe à la critique. La loi prévoit expressément que les frais puissent être prélevés de manière forfaitaire (art. 1b al. 3, 1 ère phrase LPol). La jurisprudence admet un certain schématisme dans la perception de la contribution causale et dans la fixation de son montant (cf. Danielle Yersin, L'égalité de traitement en droit fiscal, rapport publié in : RDS 1992 II, p. 144 et ss, not. 173/174; références citées). Ainsi qu’on l’a vu ci-dessus, le montant de 200 fr. constitue le minimum que l’autorité intimée peut exiger de chaque contrevenant ayant, à l’image du recourant, généré l'intervention des services de police pour troubles à l'ordre public (cf. art. 1 er let. A ch. 3 RE-Pol).</w:t>
      </w:r>
    </w:p>
    <w:p>
      <w:r>
        <w:rPr>
          <w:b/>
        </w:rPr>
        <w:t>E. 5</w:t>
      </w:r>
    </w:p>
    <w:p>
      <w:r>
        <w:t>Il suit de ce qui précède que le recours doit être rejeté et la décision attaquée, confirmée.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