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FI.2016.0013 vom 14. November 2017</w:t>
      </w:r>
    </w:p>
    <w:p>
      <w:r>
        <w:t>VD Tribunal cantonal, 2017-11-14, FR</w:t>
      </w:r>
    </w:p>
    <w:p>
      <w:r>
        <w:rPr>
          <w:b/>
        </w:rPr>
        <w:t xml:space="preserve">Quelle: </w:t>
      </w:r>
      <w:r>
        <w:t>https://mcp.opencaselaw.ch/entscheid/vd_omni_FI.2016.0013</w:t>
      </w:r>
    </w:p>
    <w:p>
      <w:r>
        <w:t>FR: VD_OMNI FI.2016.0013 du 14 novembre 2017</w:t>
      </w:r>
    </w:p>
    <w:p>
      <w:r>
        <w:t>IT: VD_OMNI FI.2016.0013 del 14 novembre 2017</w:t>
      </w:r>
    </w:p>
    <w:p>
      <w:pPr>
        <w:pStyle w:val="Heading2"/>
      </w:pPr>
      <w:r>
        <w:t>Regeste</w:t>
      </w:r>
    </w:p>
    <w:p>
      <w:r>
        <w:t>A.________/Administration cantonale des impôts, Administration fédérale des contributions | Rappels d'impôts et soustractions fiscales. Entreprise qui n'a pas déclaré un chiffre d'affaires de 11,5 millions sur près de 10 ans. En cours de procédure, la recourante a produit les pièces attestant les charges alléguées en déduction, ce qui a conduit l'ACI a rendre une nouvelle décision. Les amendes restaient en revanche litigieuses. Compte tenu de l'importance des montants soustraits, de la durée de l'activité incriminée et de l'absence de collaboration des organes de l'entreprise, l'ACI n'a pas violé le droit ni abusé de son pouvoir d'appréciation en qualifiant la faute commise de grave et en appliquant un coefficient de 1.5 pour l'ensemble des périodes.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portait initialement tant sur les reprises opérées par l'ACI dans le bénéfice déclaré de la recourante pour les périodes fiscales 2003 à 2012 que sur les amendes infligées pour soustraction fiscale. En cours de procédure, l'ACI, sur la base des nouvelles pièces produites, a toutefois rendu une nouvelle décision de rappel d'impôt, de taxation définitive et de prononcé d'amendes. Invitée à se déterminer sur cette nouvelle décision, la recourante a accepté les nouveaux compléments d'impôt réclamés; elle a maintenu en revanche ses conclusions quant aux amendes prononcées, qui restaient selon elle excessives. Le litige ne porte dès lors plus que sur ce volet.</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4</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de la loi fédérale du 14 décembre 1990 sur l'impôt fédéral direct [LIFD; RS 642.11], 242 de la loi vaudoise du 4 juillet 2000 sur les impôts directs cantonaux [LI; RSV 642.11]). La tentative de soustraction est réalisée dans les mêmes conditions, mais elle suppose que la taxation insuffisante ne soit pas encore entrée en force au moment de l'intervention du fisc; elle est réprimée par les art. 176 LIFD et 243 LI. La condition objective de la soustraction fiscale suppose, d’une part, que les montants non déclarés constituent des éléments imposables, d’autre part, que ces montants soient entrés dans la sphère de disposition du contribuable (cf. TF 2C_620/2012 du 14 février 2013 consid. 3.4).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(TF 2C_1221/2013 et 2C_1222/2013 du 4 septembre 2014 consid. 3.2).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2C_1221/2013 et 2C_1222/2013 précité, consid. 3.2 et les références; TF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arrêt FI.2009.0005 précité, consid. 4b). b) Tant en droit fédéral qu'en droit cantonal,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(cf. ATF 114 Ib 27 consid. 4a p. 30/31; arrêt FI.2013.0077, FI.2013.0078 du 4 septembre 2014 consid. 9c et les références).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Sansonetti/Danielle Hostettler, in Commentaire romand, Impôt fédéral direct, 2 ème éd., Bâle 2017, ad art. 175 n. 46 ss). c) En l'espèce, la recourante ne conteste à juste titre pas la réalisation des éléments objectifs et subjectifs de la soustraction. Elle juge en revanche les amendes prononcées excessives. Les montants soustraits sont importants. Ils portent selon le dernier tableau des reprises établi par l'ACI à 4'612'635 francs. L'activité incriminée s'est par ailleurs étendue sur près de dix ans et se serait poursuivie, si l'administration fiscale n'avait pas découvert l'existence du compte non déclaré de la recourante. Les montants en jeu étaient en outre si importants que la succursale de la Banque ******** ne disposait pas de liquidités suffisantes, si bien que la société a dû transiter par un compte BCV de son administrateur pour pouvoir assurer les prélèvements cash. On était en présence d'une entreprise en marge de l'entreprise déclarée. Comme l'a relevé l'autorité intimée dans ses écritures, un système aussi bien établi démontre une volonté très forte de soustraire de l'argent au fisc, ce qui dénote une culpabilité lourde. Quant à la collaboration des organes de la recourante, elle ne saurait être qualifiée de bonne. La société a en effet tardé à transmettre l'intégralité des relevés de son compte ******** non déclaré, que l'ACI a finalement obtenus par l'intermédiaire de l'AFC. Un constat identique peut être fait s'agissant des justificatifs des charges alléguées en déduction du chiffre d'affaires. La société n'a ainsi renseigné l'autorité sur ses charges de salaire qu'au stade de la procédure de recours, après un double échange d'écritures et une audience. Elle n'a de plus fourni l'identité des bénéficiaires des commissions qu'une fois ces informations découvertes par le Ministère public. Certes, les amendes prononcées, même après leur adaptation suite aux corrections apportées aux éléments de bénéfice soustraits (cf. nouvelle décision du 10 octobre 2017), sont importantes: 2'016'750 fr. pour les amendes sur reprises d'impôt sur le bénéfice et 245'950 fr. pour celles sur reprises d'impôt à la source. Il est possible que la recourante n'ait pas la capacité économique d'assumer le paiement de tels montants et qu'elle risque de tomber en faillite, ce qui entraînera le licenciement de l'ensemble de son personnel. Cet élément en faveur de l'intéressée n'est toutefois pas suffisant pour contrebalancer les circonstances aggravantes mentionnées ci-dessus. Dans ces conditions et tout bien considéré, l'autorité intimée n'a pas violé le droit ni abusé de son pouvoir d'appréciation en qualifiant la faute de la recourante de grave pour l'ensemble des périodes considérées et en appliquant un coefficient de 1.5 pour les soustractions commises.</w:t>
      </w:r>
    </w:p>
    <w:p>
      <w:r>
        <w:rPr>
          <w:b/>
        </w:rPr>
        <w:t>E. 5</w:t>
      </w:r>
    </w:p>
    <w:p>
      <w:r>
        <w:t>Les considérants qui précèdent conduisent au rejet du recours et à la confirmation de la décision du 10 octobre 2017, qui remplace celle du 4 janvier 2016. La recourante, qui succombe, supportera les frais de justice (art. 49 al. 1, 91 et 99 LPA-VD), arrêtés à 20'000 fr. compte tenu de la valeur litigieuse et de la longue instruction menée (art. 2 du Tarif des frais judiciaires et des dépens en matière administrative du 28 avril 2015 – TFJDA; RSV 173.36.5.1). Il n'y a pas lieu d'allouer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