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FI.2016.0001 vom 11. Mai 2016</w:t>
      </w:r>
    </w:p>
    <w:p>
      <w:r>
        <w:t>VD Tribunal cantonal, 2016-05-11, FR</w:t>
      </w:r>
    </w:p>
    <w:p>
      <w:r>
        <w:rPr>
          <w:b/>
        </w:rPr>
        <w:t xml:space="preserve">Quelle: </w:t>
      </w:r>
      <w:r>
        <w:t>https://mcp.opencaselaw.ch/entscheid/vd_omni_FI.2016.0001</w:t>
      </w:r>
    </w:p>
    <w:p>
      <w:r>
        <w:t>FR: VD_OMNI FI.2016.0001 du 11 mai 2016</w:t>
      </w:r>
    </w:p>
    <w:p>
      <w:r>
        <w:t>IT: VD_OMNI FI.2016.0001 del 11 maggio 2016</w:t>
      </w:r>
    </w:p>
    <w:p>
      <w:pPr>
        <w:pStyle w:val="Heading2"/>
      </w:pPr>
      <w:r>
        <w:t>Regeste</w:t>
      </w:r>
    </w:p>
    <w:p>
      <w:r>
        <w:t>A.X.________, B.X.________/Administration cantonale des impôts, Administration fédérale des contributions | Imposition du bénéfice de liquidation provenant de la vente d'une entreprise. Les contribaubles ont cédé le cabinet de physiothérapie qu'ils exploitaient jusqu'alors dans le canton, avant d'ouvrir un cabinet de physiothérapie en Valais. Dans la mesure où les contribuables n’ont pas continué l’exploitation existante, qu'ils ont acquis l’appartement qui abrite leur nouveau cabinet, de sorte que la condition d’identité des biens immobilisés nouvellement acquis fait défaut, et qu’il s’agit là de deux exploitations différentes, à tout le moins dans leur localisation, les conditions du remploi du bénéfice de la vente, telles qu'elles étaitent prévues jusqu'au 31 décembre 2008, ne sont pas réalisées dans le cas d’espèce.</w:t>
      </w:r>
    </w:p>
    <w:p>
      <w:pPr>
        <w:pStyle w:val="Heading2"/>
      </w:pPr>
      <w:r>
        <w:t>Erwägungen</w:t>
      </w:r>
    </w:p>
    <w:p>
      <w:r>
        <w:rPr>
          <w:b/>
        </w:rPr>
        <w:t>E. 1</w:t>
      </w:r>
    </w:p>
    <w:p>
      <w:r>
        <w:t>Aux termes de l’art. 199 de la loi cantonale du 4 juillet 2000 sur les impôts directs cantonaux (LI; RSV 642.11), le recours au Tribunal cantonal s'exerce conformément à la loi sur la procédure administrative. Le recours ayant été interjeté dans la forme prescrite (art. 79 de la loi cantonale du 28 octobre 2008 sur la procédure administrative [LPA-VD; RSV 173.36]) et le délai de trente jours (art. 77 LPA-VD), il y a lieu d’entrer en matière.</w:t>
      </w:r>
    </w:p>
    <w:p>
      <w:r>
        <w:rPr>
          <w:b/>
        </w:rPr>
        <w:t>E. 2</w:t>
      </w:r>
    </w:p>
    <w:p>
      <w:r>
        <w:t>Le litige a exclusivement trait à l’impôt cantonal et communal sur le revenu et la fortune. On rappelle que la LI a abrogé la loi homonyme, du 26 novembre 1956 (aLI), dès son entrée en vigueur le 1 er janvier 2001 (art. 278 et 279 LI). Elle est donc applicable à la période ici en cause.</w:t>
      </w:r>
    </w:p>
    <w:p>
      <w:r>
        <w:rPr>
          <w:b/>
        </w:rPr>
        <w:t>E. 2.2</w:t>
      </w:r>
    </w:p>
    <w:p>
      <w:r>
        <w:t>p. 197; 135 I 279 consid. 2.6.1 p. 285; 122 II 464; 120 V 357; Pierre Moor/Etienne Poltier, Droit administratif, Volume II, Les actes administratifs et leur contrôle, Berne 2011, ch. 2.2.7.4). On peut toutefois renoncer à renvoyer l’affaire à l’autorité inférieure, même si la violation du droit d’être entendu est importante, lorsque cette mesure est dénuée de sens et conduirait à un rallongement de la procédure incompatible avec le droit des parties à recevoir une décision au fond dans un délai raisonnable (ATF 133 I 201 consid. 2.2 p. 204/205; 132 V 387 consid. 5.1 p. 390, et les références citées). b) Le droit de faire administrer des preuves suppose que le fait à prouver soit pertinent, que le moyen de preuve proposé soit nécessaire pour constater ce fait et que la demande soit présentée selon les formes et délais prescrits par le droit cantonal ( ATF 119 Ib 492 consid. 5b/bb p. 505). Par ailleurs,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136 I 229 consid. 5.3 p. 236). Ainsi, le juge peut renoncer à l'administration de certaines preuves offertes, lorsque le fait dont les parties veulent rapporter l'authenticité n'est pas important pour la solution du cas, que la preuve résulte déjà de constatations versées au dossier ou lorsqu'il parvient à la conclusion que ces preuves ne sont pas décisives pour la solution du litige, voire qu'elles ne pourraient l'amener à modifier son opinion. Ce refus d'instruire ne viole le droit d'être entendu des parties que si l'appréciation anticipée de la pertinence du moyen de preuve offert, à laquelle le juge a ainsi procédé, est entachée d'arbitraire ( ATF 136 I 229 consid. 5.3 p. 236; 134 I 140 consid. 5.3 p. 148; 125 I 127 consid. 6c/cc in fine p. 135; 124 I 208 consid. 4a p. 211 et les arrêts cités, 241 consid. 2 p. 242; sur la notion d'arbitraire, voir ATF 127 I 54 consid. 2b p. 56, 60 consid. 5a p. 70). A cela s’ajoute qu’en vertu de la maxime inquisitoire, les autorités fiscales établissent d'office les faits pertinents, avec le concours du contribuable, lequel a un devoir de collaborer (cf. art. 123 al. 1, 126 al. 1 et 2, 130 al. 1 et 142 al. 4 LIFD; 172 al. 1, 176 al. 1 et 2, 180 al. 1 et 199 LI; 41, 63, 70, 89 LPA-VD). Ce devoir est limité par le principe de proportionnalité, qui exige que les renseignements demandés puissent présenter de l'importance pour la taxation du contribuable. En effet, les offres de preuves du contribuable doivent être acceptées, à condition qu'elles soient propres à établir des faits pertinents pour la taxation (art. 115 LIFD et 162 LI). Il est ainsi possible de renoncer à l'administration de certaines preuves offertes lorsque le fait à établir est sans importance pour la taxation, qu'il résulte déjà de constatations ressortant du dossier ou lorsque le moyen de preuve avancé est impropre à fournir les éclaircissements nécessaires. L'appréciation anticipée des preuves ne constitue pas une atteinte au droit d'être entendu directement déduit de l'art. 29 Cst. (ATF 125 I 127 consid. 6c/cc p. 135 et les arrêts cités). Il faut en outre que la collecte des informations n'occasionne pas de frais déraisonnables (ATF 133 II 114 consid. 3.2-3.5 p. 116 ss ; arrêt 2C_819/2009 du 28 septembre 2010 consid. 2.2). Au même titre que toute appréciation des preuves, l'appréciation anticipée de celle-ci est soumise à l'interdiction de l'arbitraire (ATF 124 I 274 consid. 5b p. 285 et les références citées). c) Devant les autorités administratives et devant la Cour de droit administratif et public du Tribunal cantonal, la procédure est en principe écrite (art. 27 LPA-VD). Les parties participent à l'administration des preuves (art. 34 al. 1 LPA-VD). A cet effet, l’autorité peut, notamment, recourir aux moyens de preuve suivants (art. 29 al. 1 LPA-VD): audition des parties (let. a); inspection locale (let. b); expertises (let. c); documents, titres et rapports officiels (let. d); renseignements fournis par les parties, des autorités ou des tiers (let. e); témoignages (let. f). Les autorités administratives et judiciaires ne sont toutefois pas liées par les offres de preuves formulées par les parties (art. 28 al. 2 LPA-VD); elles doivent examiner les allégués de fait et de droit et administrer les preuves requises, si ces moyens n'apparaissent pas d'emblée dénués de pertinence (art. 34 al. 3 LPA-VD). d) Comme on le verra ci-dessous, le litige a trait, pour l’essentiel, à des questions d’ordre exclusivement juridique, que le Tribunal examine avec un plein pouvoir d’examen (cf. art. 98 LPA-VD). Au surplus, l’autorité intimée a produit son dossier complet et les faits sont établis. Par conséquent, les offres de preuve qui motivent la réquisition des recourants ne sont pas déterminantes pour la résolution du litige. A cela s’ajoute que les recourants, vu leur qualité de contribuable, ont le devoir de collaborer pour assurer une taxation complète et exacte (art. 126 al. 1 LIFD et 176 al. 1 LI). L’on peut dès lors attendre de leur part qu’ils produisent toutes les pièces qui motivent les éléments dont ils se prévalent pour réduire la créance fiscale. Enfin, la présente procédure ne présente aucun volet pénal, de sorte que l’art. 6 CEDH ne saurait trouver application dans le cas d’espèce. Dans ces conditions, par appréciation anticipée des preuves, il ne s’impose pas de faire droit à la réquisition des recourants et de tenir une audience.</w:t>
      </w:r>
    </w:p>
    <w:p>
      <w:r>
        <w:rPr>
          <w:b/>
        </w:rPr>
        <w:t>E. 3</w:t>
      </w:r>
    </w:p>
    <w:p>
      <w:r>
        <w:t>A titre de mesure d’instruction, les recourants ont requis la tenue d’une audience afin qu’ils puissent s’exprimer oralement devant le Tribunal. a) La jurisprudence a déduit du droit d'être entendu découlant de l'art. 29 al. 2 de la Constitution fédérale du 18 avril 1999 (Cst.; RS 101), en particulier le droit pour le justiciable de s'expliquer avant qu'une décision ne soit prise à son détriment, celui de fournir les preuves quant aux faits de nature à influer sur le sort de la décision ( ATF 137 IV 33 consid. 9.2 p. 48 s.; 125 V 332 consid. 3a p. 335 et les références citées), celui d'avoir accès au dossier (ATF 126 I 7 consid. 2b p. 10), ainsi que celui de participer à l'administration des preuves, d'en prendre connaissance et de se déterminer à leur propos lorsque celles-ci sont de nature à influencer la décision à rendre ( ATF 137 II 266 consid.</w:t>
      </w:r>
    </w:p>
    <w:p>
      <w:r>
        <w:rPr>
          <w:b/>
        </w:rPr>
        <w:t>E. 3.2</w:t>
      </w:r>
    </w:p>
    <w:p>
      <w:r>
        <w:t>p. 270; 137 IV 33 consid. 9.2 p. 48/49; 135 I 279 consid. 2.3 p. 282; 127 I 54 consid. 2b p. 56; 126 I 15 consid. 2a/aa; 124 I 49 consid. 3a). Le droit d'être entendu comprend en outre l'obligation pour l'autorité de motiver sa décision, afin que l'intéressé puisse la comprendre, l'attaquer utilement s'il y a lieu et que l'autorité de recours puisse exercer son contrôle (cf. ATF 135 V 65 consid. 2.6 p. 73; 134 I 83 consid. 4.1 p. 88). Cette garantie étant de nature formelle, l'intéressé n'a pas à prouver que s'il avait été entendu, la décision aurait été différente, mais il suffit qu'il établisse n'avoir pu exercer son droit ( ATF 137 I 195 consid.</w:t>
      </w:r>
    </w:p>
    <w:p>
      <w:r>
        <w:rPr>
          <w:b/>
        </w:rPr>
        <w:t>E. 3.4</w:t>
      </w:r>
    </w:p>
    <w:p>
      <w:r>
        <w:t>p. 193; arrêts 2C_477/2013 du 16 décembre 2013 consid. 2.4; 2C_806/2012 du 12 juillet 2013 consid. 8.2, non publié in ATF 139 I 229 ; cf., en droit privé, art. 1 er Tit. fin. CC; ATF 133 III 105 consid. 2.1.1 p. 108; arrêt 5A_690/2011 du 10 janvier 2012 consid. 3.2; pour la doctrine, cf. notamment Ernst Blumenstein/Peter Locher, System des schweizerischen Steuerrechts, 7 ème éd., Zurich 2016, p. 193). C’est seulement dans une situation où le législateur entend réglementer un état de chose qui, bien qu'ayant pris naissance dans le passé, se prolonge au moment de l'entrée en vigueur du nouveau droit, que la rétroactivité improprement dite est en principe admise, sous réserve du respect des droits acquis (ATF 138 I 189 consid. 3.4 p. 193; 133 II 97 consid. 4.1 p. 101/102; 122 II 113 consid. 3b p. 124; 122 V 405 consid. 3b p. 408 s., 6 consid. 3a p. 8; arrêt 2C_477/2013 du 16 décembre 2013 consid. 2.4 ). Tel n’est pas le cas en l’occurrence; la créance fiscale ayant pris naissance avec la liquidation par les recourants de leur cabinet de 4******** au 30 juin 2006, ce sont les dispositions en vigueur à ce moment-là qui sont applicables à l’imposition du produit en résultant.</w:t>
      </w:r>
    </w:p>
    <w:p>
      <w:r>
        <w:rPr>
          <w:b/>
        </w:rPr>
        <w:t>E. 4</w:t>
      </w:r>
    </w:p>
    <w:p>
      <w:r>
        <w:t>Sur le plan matériel, le litige a trait à l’imposition du bénéfice provenant de la liquidation par les recourants de l’entreprise qu’ils exploitaient dans le canton de Vaud. a) Tous les revenus provenant de l'exploitation d'une entreprise commerciale, industrielle, artisanale, agricole ou sylvicole, de l'exercice d'une profession libérale ou de toute autre activité lucrative indépendante sont imposables (articles 8 al. 1 de la loi fédérale du 14 décembre 1990 sur l'harmonisation des impôts directs des cantons et des communes [LHID; RS 642.14] et 21 al. 1 LI). Font partie des revenus provenant de l'activité lucrative indépendante tous les bénéfices en capital provenant de l'aliénation, de la réalisation ou de la réévaluation comptable d'éléments de la fortune commerciale (art. 8 al. 1 LHID; 21 al. 2 LI). En l’espèce, il n’est pas contesté que le bénéfice tiré par les recourants de la convention de vente de leur entreprise, pour un montant arrêté à 208'040 fr., doit en principe être considéré comme du revenu imposable. Les recourants ont cependant requis le remploi du produit de la vente du cabinet de physiothérapie qu’ils exploitaient à 4********, ce que l’autorité intimée leur a refusé dans la décision attaquée. b) De manière générale, le remploi désigne l’opération consistant, pour le contribuable, à vendre un actif et affecter le produit de cette vente à l’acquisition d’un bien de remplacement. En droit cantonal, la question était réglée par l’art. 34 LI qui, dans sa teneur en vigueur jusqu’au 31 janvier 2008, donc applicable à la période fiscale ici concernée, prévoyait: 1 Lorsque des biens immobilisés nécessaires à l'exploitation sont remplacés, les réserves latentes de ces biens peuvent être reportées, dans un délai raisonnable, sur les éléments acquis en remploi qui remplissent la même fonction; le report de réserves latentes sur des éléments de fortune situés hors de Suisse est exclu. 2 Lorsque le remploi n'intervient pas pendant le même exercice, une provision correspondant aux réserves latentes peut être constituée. Cette provision doit être dissoute et utilisée pour l'amortissement de l'élément acquis en remploi ou portée au crédit du compte de résultats dans un délai raisonnable. 3 Seuls les biens immobilisés qui servent directement à l'exploitation sont considérés comme nécessaires à celle-ci; n'en font pas partie, notamment, les biens qui ne sont utiles à l'entreprise que par leur valeur de placement ou leur rendement. Il est à relever que l’art. 30 de la loi fédérale du 14 décembre 1990 sur l’impôt fédéral direct (LIFD; RS 642.11) avait une teneur identique, de même que l’art. 8 al. 4 LHID correspondait aux articles 34 al. 1 LI et 30 al. 1 LIFD. Il est à relever également que pour l’imposition du bénéfice des personnes morales, l’institution du remploi était réglée de manière analogue (cf. art. 101 al. 1 et 2 LI, correspondant à l’art. 30 al. 1 et 2 LI; 64 al. 1, 2 et 3 LIFD, correspondant aux art. 30 al. 1, 2 et 3 LIFD; 24 al. 4 LHID). Au regard de ces normes, les biens nécessaires à l’exploitation sont ceux qui sont mis durablement au service de celle-ci. Il s’agit d’immeubles, de bâtiments, de machines et d’installations, ainsi que des brevets, des licences, des concessions, des participations, et non pas de liquidités ou de prétentions exigibles. La qualification d’un bien comme nécessaire à l’exploitation dépend non pas de sa nature, mais de son rôle dans le fonctionnement de l’exploitation: il faut que le bien serve à la capacité de l’exploitation et que sa réalisation diminue cette capacité. Subséquemment, le réinvestissement de liquidités provenant de la vente d’un actif non nécessaire à l’exploitation - même en vue de l’acquisition de biens nécessaires à l’exploitation - n’entre pas dans le champ des dispositions régissant le remploi. Pour que celui-ci soit admis, il faut que le bien acquis en remplacement remplisse en outre la même fonction (technique ou économique) que l’actif vendu. Lorsque le bien est aliéné aux fins de remploi, les réserves latentes y relatives sont réalisées; pour le même exercice, une charge est comptabilisée, qui compense le produit réalisé (cf. arrêts FI.2013.0027 du 6 mai 2014, consid. 4; FI.2010.0034 du 27 janvier 2011, consid. 4 et les références citées; Markus Reich/Marina Züger, in : Kommentar zum schweizerischen Steuerrecht, I/2a, Martin Zweifel/Peter Athanas [éds], 2 ème éd., Bâle, 2008, n°1-15 ad art. 30 LIFD; Markus Reich, in : Kommentar zum schweizerischen Steuerrecht, I/1, Martin Zweifel/Peter Athanas [éds], 2 ème éd,, Bâle, 2008, n°66-86 ad art. 8 LHID; Robert Danon, in : Commentaire romand, Impôt fédéral direct, Danielle Yersin/Yves Noël [éds], Bâle 2008, n°9-15 ad art. 64 LIFD; Hans-Ulrich Meuter, Ersatzbeschaffung, in : ZStP 2001 p. 167ss, 263ss). Le remploi peut être différé dans le temps, pourvu que l’opération intervienne dans un délai raisonnable (art. 101 al. 2 LI). Dans un tel cas, une provision doit être constituée, puis dissoute au moment du remploi (Meuter, op. cit., p. 178ss). L’une des conditions particulières pour que le remploi soit admis est que le bien acquis en remplacement doit permettre à l’entreprise de continuer l’exploitation en la maintenant pour l’essentiel inchangée (Reich/Züger, op. cit., n°12 ad art. 30 LIFD; Meuter, op. cit., p. 173/174). Cela a pour conséquence qu’il n’y a pas lieu à remploi lorsqu’une exploitation, considérée dans son ensemble, est remplacée par une autre exploitation, même de même type, le produit de la liquidation étant utilisé pour créer une nouvelle exploitation (Reich/Züger, op. cit., n°12 ad art. 30 LIFD; Peter Locher, Kommentar zum DBG, I. Teil, Therwil/Bâle 2001, n°5 ad art. 30, p. 760, références citées). En d’autres termes, un rapport de connexité doit exister entre les actifs qui font l’objet du remploi et l’exploitation concernée, laquelle doit être maintenue (Danon, op. cit., n°15 ad art. 64 LIFD; Locher, ibid., n°11). Sous l’empire du droit harmonisé, le Tribunal administratif du canton de Saint-Gall a eu à connaître du cas d’une dentiste exerçant à titre indépendant, qui avait remis son cabinet dentaire, sis dans le canton de St-Gall. Elle avait constitué, avec le produit de la vente, une provision en vue d’ouvrir ultérieurement un nouveau cabinet, ce qu’elle avait fait, deux ans plus tard, dans le canton de Lucerne. La juridiction cantonale a refusé le remploi, au motif principal que la contribuable avait temporairement interrompu son activité lucrative indépendante, de sorte que le gain en capital réalisé à la suite de la remise du cabinet médical était entré dans sa fortune privée (arrêt du 9 novembre 2006, reproduit in : StE 2007 B23.5 Nr. 5). Pour sa part, la CDAP a confirmé le refus de l’autorité fiscale de considérer comme un remploi le réinvestissement par un dentiste du bénéfice de la vente de son cabinet dans le canton de Vaud pour en ouvrir un autre environ deux ans plus tard, dans le canton de Fribourg; elle a considéré l'activité que ce dentiste déployait désormais dans son nouveau cabinet comme une exploitation différente de la précédente, dans sa localisation et son organisation (arrêt FI.2013.0027, déjà cité, consid. 6). c) Il est à noter qu’avec l’entrée en vigueur de la novelle du 9 septembre 2008, le 1 er janvier 2009, l’alinéa premier de l’art. 34 LI a changé; il a désormais la teneur suivante: 1 Lorsque des biens immobilisés nécessaires à l'exploitation sont remplacés, les réserves latentes de ces biens peuvent être reportées sur les biens immobilisés acquis en remploi, si ces biens sont également nécessaires à l'exploitation et se trouvent en Suisse. L'imposition en cas de remplacement d'immeubles par des biens mobiliers est réservée. Cette modification fait suite de l’adoption de la loi fédérale du 23 mars 2007 sur la réforme des entreprises II. Les articles 30 al. 1 et 64 al. 1 LIFD, ainsi que l’art. 8 al. 4 LHID, dans leur version du 23 mars 2007, trouvent leur source dans le Message du 22 juin 2005, concernant la loi fédérale sur l’amélioration des conditions fiscales applicables aux activités entrepreneuriales et aux investissements – loi sur la réforme des entreprises II. Les textes proposés de ces normes par le Conseil fédéral ont été reprises sans modification par l’Assemblée fédérale (FF 2005 p. 4469 et ss, not. 4614, 4615, 4617). Le commentaire de l’art. 30 al. 1 LIFD, auquel se réfère celui des articles 64 LIFD et 8 al. 4 LHID, dit ceci (p. 4581/4582): « La notion de remploi doit être élargie. En cas de remplacement d’un objet faisant partie de l’actif immobilisé nécessaire à l’exploitation, les réserves latentes doivent pouvoir être reportées sur d’autres objets faisant partie de l’actif immobilisé. En revanche, il faut renoncer aux exigences de la même fonction dans l’exploitation et de l’équivalence de l’objet de remplacement (…). Le report de l’imposition n’est pas accordé pour les biens acquis en remplacement faisant partie de l’actif circulant ou pour les participations sans rapport fonctionnel avec l’entreprise ». Il ressort ainsi des travaux préparatoires que le législateur a voulu, en modifiant les normes régissant le remploi, assouplir la condition de l’identité de fonction des biens vendus et remplacés. Les réserves latentes doivent pouvoir être reportées sur d’autres objets, à condition qu’ils fassent partie de l’actif immobilisé et soient nécessaires pour l’exploitation. Selon la doctrine, la nouvelle teneur de l’art. 30 al. 1 LIFD (et de l’art 8 al. 4 LHID) marquerait une rupture de la théorie de l’identité des objets, en faveur de la théorie dite du réinvestissement, favorisant ainsi la réorientation de l’activité des entreprises (v. sur ce point, Stefan Kuhn/Peter Sebestyen/Cypriano Gadola, Steuerliche Ersatzbeschaffung in neuem Kleid, in : Revue fiscale 2009 p. 538ss, not. 540). Toutefois, ces nouvelles dispositions sont en vigueur à compter du 1 er janvier 2009; elles ne s’appliquent donc pas à la période concernée par la présente procédure. On rappelle à cet égard qu’en vertu du principe de la non-rétroactivité, une loi ne déploie ses effets qu’après sa publication et son entrée en vigueur; elle n’a de portée que pour l’avenir. Par ailleurs, la créance fiscale prend naissance lorsque l’état de fait auquel la loi fiscale rattache l’apparition de dite créance est concrétisé. En effet, l'interdiction de la rétroactivité (proprement dite) des lois, notamment fiscales, qui découle des articles 5 al. 1 et 9 de la Constitution fédérale du 18 avril 1999 (Cst.; RS 101), fait obstacle à l'application d'une norme à des faits entièrement révolus avant son entrée en vigueur ( ATF 138 I 189 consid.</w:t>
      </w:r>
    </w:p>
    <w:p>
      <w:r>
        <w:rPr>
          <w:b/>
        </w:rPr>
        <w:t>E. 5</w:t>
      </w:r>
    </w:p>
    <w:p>
      <w:r>
        <w:t>Les recourants font valoir que toutes les conditions permettant le remploi du bénéfice de liquidation provenant de la vente de leur cabinet de physiothérapie de 4******** seraient réalisées, ce que conteste en revanche l’autorité intimée. a) Le débat a trait en l’espèce à la continuation par les recourants de l’exploitation du cabinet qu’ils ont cédé. Tout d’abord, contrairement au cas dont la Cour a eu à connaître dans l’arrêt FI.2013.0027, déjà cité, on relève que les recourants n’ont pas interrompu leur activité; en effet, après avoir cédé leur cabinet de physiothérapie de 4******** le 26 juin 2006, ils ont ouvert un cabinet semblable à 5********, le 1 er juillet 2006. Toutefois, cette constatation n’est, à elle seule, pas suffisante pour que l’on retienne la continuation de l’exploitation. Encore faut-il démontrer l’existence d’un rapport de connexité entre les actifs faisant l’objet du remploi et l’exploitation concernée, comme on l’a vu ci-dessus. A cet égard, il appert que les objets cédés par les recourants aux repreneurs de leur cabinet de 4******** étaient nécessaires à l’exploitation de celui-ci; toutefois, au vu de leur valeurs comptables respectives (25'841 fr.40 chez A.X.________; 12'400 fr. chez B.X.________), leur incidence sur le prix de vente du cabinet doit être considérée comme étant résiduelle, ce qui aura une incidence comme on le verra ci-dessous. Sans doute, pour équiper le cabinet de 5********, les recourants ont acquis des objets de remplacement, mais pas seulement; en effet, ils ont, par surcroît, réalisé un investissement immobilier en faisant l’acquisition de la propriété de l’appartement qui abrite ce cabinet. Dès lors, la condition d’identité des biens immobilisés nouvellement acquis fait défaut. A cela s’ajoute que la détermination du prix de vente du cabinet de 4******** repose pour l’essentiel sur la valeur que les parties à la convention de cession ont attribuée au goodwill de l’entreprise cédée, puisque cette valeur représente près de 85% du prix. Du reste, les recourants se sont expressément engagés à ne pas faire de concurrence aux repreneurs de leur cabinet et à ne pas créer un nouveau cabinet identique dans la région de 4********. Cela démontre l’importance que les parties ont attachée à la valeur du goodwill. Or, avec l’ouverture de leur nouveau cabinet de 5********, les recourants visent l’acquisition d’une clientèle différente de leur précédent cabinet. Du reste, ils se gardent eux-mêmes d’alléguer que plusieurs des clients de leur cabinet de 4******** les auraient suivis à 5********. Par conséquent, force est de constater que les recourants n’ont pas continué l’exploitation existante et qu’il s’agit là de deux exploitations différentes, à tout le moins dans leur localisation. b) De ce qui précède, on retiendra que les conditions du remploi du bénéfice de la vente, au sens où l’entendait l’art. 34 al. 1 LI dans sa teneur en vigueur jusqu’au 31 décembre 2008, ne sont pas réalisées dans le cas d’espèce. C’est ainsi à bon droit que le revenu des recourants durant la période fiscale 2006 a été arrêté à 244’100 fr., imposable dans le canton au taux de 154'300 francs.</w:t>
      </w:r>
    </w:p>
    <w:p>
      <w:r>
        <w:rPr>
          <w:b/>
        </w:rPr>
        <w:t>E. 6</w:t>
      </w:r>
    </w:p>
    <w:p>
      <w:r>
        <w:t>Il suit de ce qui précède que le recours doit être rejeté et la décision attaquée, confirmée. Au vu du sort du recours, un émolument judiciaire sera mis à la charge des recourants, ceux-ci succombant (art. 48 et 91 et 99 LPA-VD). Pour les mêmes raisons, l’allocation de dépens ne saurait entrer en ligne de compte (art. 55 al. 1 a contrario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