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FI.2015.0137 vom 8. April 2016</w:t>
      </w:r>
    </w:p>
    <w:p>
      <w:r>
        <w:t>VD Tribunal cantonal, 2016-04-08, FR</w:t>
      </w:r>
    </w:p>
    <w:p>
      <w:r>
        <w:rPr>
          <w:b/>
        </w:rPr>
        <w:t xml:space="preserve">Quelle: </w:t>
      </w:r>
      <w:r>
        <w:t>https://mcp.opencaselaw.ch/entscheid/vd_omni_FI.2015.0137</w:t>
      </w:r>
    </w:p>
    <w:p>
      <w:r>
        <w:t>FR: VD_OMNI FI.2015.0137 du 8 avril 2016</w:t>
      </w:r>
    </w:p>
    <w:p>
      <w:r>
        <w:t>IT: VD_OMNI FI.2015.0137 del 8 aprile 2016</w:t>
      </w:r>
    </w:p>
    <w:p>
      <w:pPr>
        <w:pStyle w:val="Heading2"/>
      </w:pPr>
      <w:r>
        <w:t>Regeste</w:t>
      </w:r>
    </w:p>
    <w:p>
      <w:r>
        <w:t>X.________ c/Commission de recours en matière d'impôts communaux et informatique, Municipalité de Vallorbe | Admission du recours contre la décision d'une commission communale de recours prise en matière de taxe communale, qui a statué sans auditionner préalablement la recourante, celle-ci n'ayant pas renoncé à être entendue au sens de l'art. 47 LICom.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 de recours convoque le recourant et ordonne toutes mesures d'instruction qu'elle juge nécessaires.</w:t>
      </w:r>
    </w:p>
    <w:p>
      <w:r>
        <w:rPr>
          <w:b/>
        </w:rPr>
        <w:t>E. 2</w:t>
      </w:r>
    </w:p>
    <w:p>
      <w:r>
        <w:t>Manifestement bien fondé, le recours doit être admis pour violation de l’art. 47 LICom et la décision attaquée annulée. La cause sera renvoyée à l'autorité intimée pour qu’elle statue à nouveau, après avoir entendu personnellement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