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FI.2015.0075 vom 16. Juli 2015</w:t>
      </w:r>
    </w:p>
    <w:p>
      <w:r>
        <w:t>VD Tribunal cantonal, 2015-07-16, FR</w:t>
      </w:r>
    </w:p>
    <w:p>
      <w:r>
        <w:rPr>
          <w:b/>
        </w:rPr>
        <w:t xml:space="preserve">Quelle: </w:t>
      </w:r>
      <w:r>
        <w:t>https://mcp.opencaselaw.ch/entscheid/vd_omni_FI.2015.0075</w:t>
      </w:r>
    </w:p>
    <w:p>
      <w:r>
        <w:t>FR: VD_OMNI FI.2015.0075 du 16 juillet 2015</w:t>
      </w:r>
    </w:p>
    <w:p>
      <w:r>
        <w:t>IT: VD_OMNI FI.2015.0075 del 16 luglio 2015</w:t>
      </w:r>
    </w:p>
    <w:p>
      <w:pPr>
        <w:pStyle w:val="Heading2"/>
      </w:pPr>
      <w:r>
        <w:t>Regeste</w:t>
      </w:r>
    </w:p>
    <w:p>
      <w:r>
        <w:t>A. X.________/Administration cantonale des impôts, COMMUNE DE NYON, Commune de Bagnes, SERVICE CANTONAL DES CONTRIBUTIONS DU CANTON DU VALAIS | Irrecevabilité du recours pour défaut de paiement de l'avance de frais.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p. 52; 130 III 396 consid. 1.2.3 p. 399; 127 I 31 consid. 2a/aa p. 34; 123 III 492 consid. 1 p. 493, et les arrêts cités), - que l'avis du 15 juin 2015 – comportant l'obligation pour le recourant d'effectuer une avance de frais destinée à garantir les frais de la présente procédure – est réputé lui avoir été notifié le 23 juin 2015, dernier jour du délai de garde, - que l'avance de frais requise à cette occasion n'a pas été effectuée dans le délai fixé au 6 juillet 2015, - que selon l'art. 47 al. 3 LPA-VD, le non-paiement de l'avance de frais entraîne l'irrecevabilité du recours, - que l'avis du 15 juin 2015 rendait le recourant expressément attentif à cette sanction, - que le tribunal ne peut ainsi entrer en matière sur le recours (art. 47 al. 3 LPA-VD), - que le présent arrêt peut être rendu sans frais, ni dépens,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