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FI.2015.0070 vom 23. November 2015</w:t>
      </w:r>
    </w:p>
    <w:p>
      <w:r>
        <w:t>VD Tribunal cantonal, 2015-11-23, FR</w:t>
      </w:r>
    </w:p>
    <w:p>
      <w:r>
        <w:rPr>
          <w:b/>
        </w:rPr>
        <w:t xml:space="preserve">Quelle: </w:t>
      </w:r>
      <w:r>
        <w:t>https://mcp.opencaselaw.ch/entscheid/vd_omni_FI.2015.0070</w:t>
      </w:r>
    </w:p>
    <w:p>
      <w:r>
        <w:t>FR: VD_OMNI FI.2015.0070 du 23 novembre 2015</w:t>
      </w:r>
    </w:p>
    <w:p>
      <w:r>
        <w:t>IT: VD_OMNI FI.2015.0070 del 23 novembre 2015</w:t>
      </w:r>
    </w:p>
    <w:p>
      <w:pPr>
        <w:pStyle w:val="Heading2"/>
      </w:pPr>
      <w:r>
        <w:t>Regeste</w:t>
      </w:r>
    </w:p>
    <w:p>
      <w:r>
        <w:t>Municipalité de Grandcour/Commission communale de recours en matière de taxes, A. X.________ | Taxe de raccordement au réseau des eaux usées. Selon le règlement communal, en cas de transformation, d'agrandissement ou de reconstruction d'un bâtiment déjà raccordé, la taxe unique de raccordement est réajustée, en tenant compte des nouvelles unités de raccordement. La particularité du cas d'espèce tient au fait qu'aucune taxe unique de raccordement n'avait été prélevée par le passé, alors qu'avant les travaux, l'immeuble était pourtant déjà raccordé. En pareil cas, il se justifie de calculer le "réajustement" sur l'ensemble des unités de raccordement et pas uniquement sur celles résultant des travaux. Admission du recours de la municipalité contre la décision de la commission communale de recours.</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FI.2014.0004 du 23 avril 2015,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 d'évacuation et d'épuration des eaux constituent les provisions nécessaires.</w:t>
      </w:r>
    </w:p>
    <w:p>
      <w:r>
        <w:rPr>
          <w:b/>
        </w:rPr>
        <w:t>E. 4</w:t>
      </w:r>
    </w:p>
    <w:p>
      <w:r>
        <w:t>Les considérants qui précèdent conduisent à l'admission du recours et à la réforme de la décision attaquée en ce sens que le recours déposé par A. X.________ est rejeté et que les factures du 30 juillet 2013 sont confirmées.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