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FI.2015.0048 vom 29. Februar 2016</w:t>
      </w:r>
    </w:p>
    <w:p>
      <w:r>
        <w:t>VD Tribunal cantonal, 2016-02-29, FR</w:t>
      </w:r>
    </w:p>
    <w:p>
      <w:r>
        <w:rPr>
          <w:b/>
        </w:rPr>
        <w:t xml:space="preserve">Quelle: </w:t>
      </w:r>
      <w:r>
        <w:t>https://mcp.opencaselaw.ch/entscheid/vd_omni_FI.2015.0048</w:t>
      </w:r>
    </w:p>
    <w:p>
      <w:r>
        <w:t>FR: VD_OMNI FI.2015.0048 du 29 février 2016</w:t>
      </w:r>
    </w:p>
    <w:p>
      <w:r>
        <w:t>IT: VD_OMNI FI.2015.0048 del 29 febbraio 2016</w:t>
      </w:r>
    </w:p>
    <w:p>
      <w:pPr>
        <w:pStyle w:val="Heading2"/>
      </w:pPr>
      <w:r>
        <w:t>Regeste</w:t>
      </w:r>
    </w:p>
    <w:p>
      <w:r>
        <w:t>A. X.________/Administration cantonale des impôts, Administration fédérale des contributions, Office d'impôt du district de Nyon | Prêts accordés en 1992 au recourant et à son ex-associée pour financer l'acquisition d'un commerce. A juste titre, l'ACI a retenu que ces dettes - que le recourant n'est plus tenu de rembourser, puisqu'elles sont largement prescrites - ne pouvaient plus figurer au passif du bilan de sa raison individuelle. La question de savoir si l'intéressé a bénéficié d'un abandon de créance peut rester indécise. Recours au TF irrecevable (arrêt 2C_290 et 291/2016 du 25 avril 2016).</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attaqués. Sauf dispositions légales contraires, le délai de recours ne court pas notamment du septième jour avant Pâques au septième jour après Pâques inclusivement (art. 96 al. 1 let. a LPA-VD). L'acte de recours doit être signé et indiquer les conclusions et motifs du recours (art. 79 al. 1 LPA-VD). b) En l'espèce, le recourant a déposé le 7 avril 2015 un premier acte de recours, qui n'était toutefois pas conforme aux exigences formelles de l'art. 79 al. 1 LPA-VD. Cet acte ne comprenait en effet ni motifs, ni conclusions. Il s'agissait d'une simple déclaration de recours. Le recourant a déposé le 23 avril 2015 un nouvel acte de recours, qui respectait cette fois les prescriptions de l'art. 79 al. 1 LPA-VD. Cet acte est toutefois tardif, et partant irrecevable, en ce qui concerne l'impôt fédéral direct, la loi fédérale du 14 décembre 1990 sur l'impôt fédéral direct (LIFD; RS 642.11) ne connaissant pas, à l'opposé de ce que prévoit le droit de procédure cantonal, de féries judiciaires notamment à Pâques (TF 2C_589 et 590/2013 du 17 janvier 2014 consid. 4 et les références citées; voir ég. arrêt FI.2009.0054 du 18 juin 2010 consid. 1). Il convient donc d'entrer en matière sur le recours, uniquement en tant qu'il porte sur l'impôt cantonal et communal.</w:t>
      </w:r>
    </w:p>
    <w:p>
      <w:r>
        <w:rPr>
          <w:b/>
        </w:rPr>
        <w:t>E. 2</w:t>
      </w:r>
    </w:p>
    <w:p>
      <w:r>
        <w:t>a) A titre préliminaire, on rappelle que la procédure de taxation se caractérise par la maxime inquisitoriale. Cela implique que l’autorité appelée à statuer doit établir elle-même les faits pertinents, sans être liée par les allégués et les preuves des parties (Denis Berdoz/Marc Bugnon, in : OREF [éd.], Les procédures en droit fiscal, 3 ème éd., Berne 2015, p. 615; Martin Zweifel, in : Martin Zweifel/Peter Athanas [ éd. ], Kommentar zum Schweizerischen Steuerrecht, I/2b, 2 ème éd., Bâle 2008, n° 2 ad 130 LIFD; Isabelle Althaus-Houriet, in : Danielle Yersin/Yves Noël [éd.], Commentaire romand, Impôt fédéral direct, Bâle 2008, nos 2 et 3 ad 130 LIFD, réf. citées). Cette maxime est toutefois tempérée par l’obligation des parties de collaborer à l’établissement des faits. Le contribuable a en effet une obligation de collaboration; il doit renseigner l'autorité fiscale sur tous les faits pertinents; il doit faire tout ce qui est nécessaire pour assurer une taxation complète et exacte (Berdoz/Bugnon, op. cit., p. 650 et 654). Il doit en particulier produire, à la demande de l'autorité de taxation, les livres comptables, les documents et pièces justificatives en sa possession (ATF 133 II 114 consid. 3.2 et 3.3 p. 116/117). Dès lors, s’agissant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4 ème éd., Bâle 2012, § 22/n°11, p. 513 ; Walter Ryser/Bernard Rolli, Précis de droit fiscal suisse, 4 ème éd., Berne 2002, p. 461-462 ). b) L’impôt sur le revenu a pour objet tous les revenus du contribuable, uniques ou périodiques (art. 7 al. 1 de la loi fédérale du 14 décembre 1990 sur l'harmonisation des impôts directs des cantons et des communes – LHID; RS 642.14; 19 al. 1 de la loi vaudoise du 4 juillet 2000 sur les impôts directs cantonaux – LI; RSV 642.11). En particulier, tous les revenus provenant de l'exploitation d'une entreprise commerciale, industrielle, artisanale, agricole ou sylvicole, de l'exercice d'une profession libérale ou de toute autre activité lucrative indépendante sont imposables (art. 21 al. 1 LI). Font partie des revenus provenant de l'activité lucrative indépendante tous les bénéfices en capital provenant de l'aliénation, de la réalisation ou de la réévaluation comptable d'éléments de la fortune commerciale (art. 8 LHID; 21 al. 2 LI). c)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175 al. 2 LI). Conformément au principe de l'autorité du bilan commercial ou de déterminance, les comptes établis conformément aux règles du droit commercial lient les autorités fiscales, à moins que le droit fiscal ne prévoie des règles correctrices spécifiques et pour autant que le bilan remis par le contribuable ne viole aucune disposition impérative du droit commercial (ATF 137 II 353 consid. 6.2 p. 359; 132 I 175 consid. 2.2 p. 177 s.). Il y a violation des règles de droit commercial prévues aux art. 957 ss CO, notamment du principe de sincérité de l'art. 959 CO, lorsque la société comptabilise une charge étrangère à son activité (ATF 135 II 86 consid. 3.1 p. 88).</w:t>
      </w:r>
    </w:p>
    <w:p>
      <w:r>
        <w:rPr>
          <w:b/>
        </w:rPr>
        <w:t>E. 3</w:t>
      </w:r>
    </w:p>
    <w:p>
      <w:r>
        <w:t>A l'appui de sa décision de taxation et de sa décision sur réclamation, l'ACI a retenu que la Banque MBA, puis son successeur, avaient abandonné leurs créances envers le recourant et son ex-associée, si bien que les prêts accordés en 1992 ne pouvaient plus figurer au passif du bilan de la raison individuelle. Elle a dès lors repris les montants correspondants tant dans le revenu que la fortune imposables du contribuable. a) Le recourant soutient tout d'abord que les prêts litigieux lui ont été accordés à titre personnel (ainsi qu'à son ex-associée) et qu'ils doivent dès lors être considérés comme privés. Il souligne que la société en nom collectif a en effet été constituée après leur obtention. Il ajoute que c'est par erreur que les prêts ont été comptabilisés comme dettes de l'entreprise. L’attribution d’un élément à la fortune privée ou commerciale se fait sur l’appréciation de l’ensemble des circonstances. La fonction technique et économique dans l’entreprise constitue le critère d’attribution déterminant; il s’agit, en première ligne, de déterminer si l’élément en question sert effectivement à la marche de l’entreprise (ATF 133 II 420 consid.</w:t>
      </w:r>
    </w:p>
    <w:p>
      <w:r>
        <w:rPr>
          <w:b/>
        </w:rPr>
        <w:t>E. 3.2</w:t>
      </w:r>
    </w:p>
    <w:p>
      <w:r>
        <w:t>p. 422; Markus Reich, in : Martin Zweifel/Peter Athanas (éd.), Kommentar zum schweizerischen Steuerrecht, I/2a, 2 ème éd., Bâle, 2008, n. 48 ad art. 18 LIFD). Le traitement comptable peut également constituer un indice. Cependant, un actif (ou passif) nécessairement commercial fait partie du patrimoine commercial même s'il ne figure pas dans la comptabilité de l'entreprise (TF 2C_29/2008 du 28 mai 2008 consid. 5.2). En l'occurrence, les prêts litigieux ont servi à financer l'acquisition du commerce exploité par le recourant, qui fait incontestablement partie de la fortune commerciale de l'intéressé. Leur comptabilisation tant dans la société en nom collectif que dans la raison individuelle constitue un indice supplémentaire de leur caractère commercial. Le fait que les prêts ont été accordés avant la constitution formelle de la société en nom collectif n'est pas déterminant à cet égard. Au regard de ces éléments, principalement de l'utilisation des prêts accordés par la Banque MBA, c'est à tort que le recourant nie le caractère commercial de la dette de 1'339'390 francs. Ce premier grief doit être écarté. b) Le recourant fait valoir par ailleurs qu'il n'aurait pas bénéficié d'un abandon de créance, contrairement à ce qu'a retenu l'ACI. Il est vrai qu'aucune pièce n'atteste que la Banque MBA, puis son successeur, auraient renoncé à leurs créances. Un abandon de créance n'est toutefois soumis à aucune forme. Il peut résulter d'actes concluants, même si une remise de dette tacite n'est pas admise facilement (Denis Piotet, in : Luc Thévenoz/Franz Werro, Commentaire romand, Code des obligations I, Bâle 2012, n. 22 ad art. 115 CO, ainsi que les références citées). Plusieurs éléments dans le cas particulier parlent en faveur d'un abandon de créance. Le recourant n'a en effet jamais amorti sa dette. En outre, il n'a plus versé d'intérêts depuis plus de dix ans. Par ailleurs, il a cessé de s'acquitter des primes des polices d'assurance-vie contractées en garantie des emprunts après la reprise de la Banque MBA par le groupe Fortis. Et tout ceci sans aucune réaction des créanciers. La question de savoir si le contribuable a bénéficié d'un abandon de créance peut néanmoins rester indécise. Le recourant ne conteste en effet pas que ses dettes sont aujourd'hui largement prescrites. Ainsi, à supposer même qu'il n'y ait pas eu de remise de dette, il n'est à ce jour plus tenu de rembourser les prêts contractés et n'a pas manifesté l'intention de le faire volontairement (au contraire). Faute d'objet, les dettes litigieuses ne peuvent par conséquence plus grever le bilan de la raison individuelle. Ce moyen s'avère aussi mal fondé. c) Le recourant relève enfin que s'il faut admettre un abandon de créance, celui-ci serait intervenu en 1995, de sorte qu'il ne pourrait plus être imposé en 2008. Comme le relève à juste titre l'ACI, le fait que les dettes litigieuses figuraient dans les comptes 2008 de la raison individuelle permettait à l'autorité fiscale d'agir dans le cadre de la procédure de taxation relative à cette période. On ne saurait par ailleurs reprocher à l'autorité fiscale de ne pas s'être aperçue avant la période 2008 que les dettes litigieuses étaient devenues sans objet, les comptes joints à la déclaration d'impôt bénéficiant d'une présomption d'exactitude. Cet argument doit être rejeté également. d) En définitive, l'ACI n'a pas violé le droit, ni abusé de son pouvoir d'appréciation, en retenant que les prêts litigieux ne pouvaient pas figurer au passif du bilan et en reprenant les montants correspondants dans le revenu et la fortune imposables du contribuable pour la période fiscale 2008.</w:t>
      </w:r>
    </w:p>
    <w:p>
      <w:r>
        <w:rPr>
          <w:b/>
        </w:rPr>
        <w:t>E. 4</w:t>
      </w:r>
    </w:p>
    <w:p>
      <w:r>
        <w:t>Les considérants qui précèdent conduisent à l'irrecevabilité du recours en tant qu'il porte sur l'impôt fédéral direct et au rejet du recours en tant qu'il porte sur l'impôt cantonal et communal. Les frais de justice, arrêtés à 5'000 fr. compte tenu de la valeur litigieuse (art. 2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Il n'y a pas lieu d'allouer des dépens, le recourant n'ayant pas obtenu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