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FI.2015.0045 vom 24. April 2015</w:t>
      </w:r>
    </w:p>
    <w:p>
      <w:r>
        <w:t>VD Tribunal cantonal, 2015-04-24, FR</w:t>
      </w:r>
    </w:p>
    <w:p>
      <w:r>
        <w:rPr>
          <w:b/>
        </w:rPr>
        <w:t xml:space="preserve">Quelle: </w:t>
      </w:r>
      <w:r>
        <w:t>https://mcp.opencaselaw.ch/entscheid/vd_omni_FI.2015.0045</w:t>
      </w:r>
    </w:p>
    <w:p>
      <w:r>
        <w:t>FR: VD_OMNI FI.2015.0045 du 24 avril 2015</w:t>
      </w:r>
    </w:p>
    <w:p>
      <w:r>
        <w:t>IT: VD_OMNI FI.2015.0045 del 24 aprile 2015</w:t>
      </w:r>
    </w:p>
    <w:p>
      <w:pPr>
        <w:pStyle w:val="Heading2"/>
      </w:pPr>
      <w:r>
        <w:t>Regeste</w:t>
      </w:r>
    </w:p>
    <w:p>
      <w:r>
        <w:t>A. X.________/Commission de recours en matière d'impôts de la Commune de Crissier, Municipalité de Crissier | Décision de la commission communale de recours confirmant que la recourante est assujettie à la taxe déchets forfaitaire "entreprise". La motivation de cette décision est quasi-inexistante. Elle se limite à l'indication: "Selon application de la loi sur les impôts communaux (LI Com) du 5 décembre 1956". Cette mention est manifestement insuffisante. Elle ne permet pas à la recourante de comprendre pour quelles raisons son recours a été rejeté. La violation du droit d'être entendu est grave et ne peut pas être guérie devant la cour de céans. Recours admis selon la procédure simplifiée de l'art. 82 LPA-VD.</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La recourante se plaint en substance d'une absence de motivation. a) Les parties ont le droit d'être entendues (art. 29 al. 2 de la Constitution fédérale de la Confédération suisse du 18 avril 1999 [Cst.; RS 101]; art. 17 al. 2 de la Constitution du canton de Vaud du 14 avril 2003 [Cst.-VD; RSV 101.01]; art. 33 ss LPA-VD). Le droit d'être entendu implique notamment pour le juge, respectivement l'autorité, l'obligation de motiver sa décision (voir ég.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voir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voir également, parmi d’autres, arrêts AC.2014.0293 du 3 novembre 2014 et GE.2012.0126 du 20 décembre 2012).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 / Etienne Poltier, Droit administratif, vol. II, 3 ème éd., Berne 2011, ch. 2.2.7.4 p. 324; arrêts AC.2014.0293 précité, GE.2012.0124 du 15 novembre 2012 et AC.2011.0170 du 31 août 2011). La jurisprudence cantonale a ainsi déjà considéré à maintes reprises qu'il n'appartient pas au tribunal de reconstituer, comme s'il était l'instance précédente, l'état de fait ou la motivation qu'aurait dû comporter la décision attaquée (arrêt AC.2013.0243 et les nombreuses références citées).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lorsqu'un grand nombre de décisions de même type sont rendues et qu'elles peuvent faire l'objet d'une réclamation. b) En l'espèce, la motivation de la décision attaquée est quasi-inexistante. Elle se limite à l'indication: " Selon application de la loi sur les impôts communaux (LI Com) du 5 décembre 1956 ". Cette mention est manifestement insuffisante. Elle ne permet pas à la recourante de comprendre pour quelles raisons son recours a été rejeté. La violation du droit d'être entendu commise est grave et ne peut pas être guérie devant la cour de céans. Il ne peut être conforme à la loi d’exiger des justiciables de recourir auprès du Tribunal cantonal pour obtenir les motifs des décisions les concernant (arrêt AC.2014.0293 précité). Il convient de rappeler que la commission communale de recours est une autorité de juridiction administrative (art. 2 LPA-VD), instituée par une loi spéciale, soit la loi vaudoise du 5 décembre 1956 sur les impôts communaux (LICom, RSV 650.11), et qu'elle est partant soumise aux obligations générales qu'impose la LPA-VD aux autorités, notamment en matière de motivation (arrêt FI.2014.0063 du 6 janvier 2015, consid. 3).</w:t>
      </w:r>
    </w:p>
    <w:p>
      <w:r>
        <w:rPr>
          <w:b/>
        </w:rPr>
        <w:t>E. 3</w:t>
      </w:r>
    </w:p>
    <w:p>
      <w:r>
        <w:t>Il résulte de ce qui précède que le recours doit être admis et la décision attaquée annulée, le dossier de la cause étant renvoyé à l'autorité intimée afin qu'elle rende une nouvelle décision respectant les exigences constitutionnelles et légales en matière de motivation. Vu l'issue du litige, les frais de justice seront mis à la charge de la Commune de Crissier (art. 49 al. 1 LPA-VD). Il n'y a pas lieu d'allouer de dépens, la recourante ayant agi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