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FI.2015.0032 vom 23. Oktober 2015</w:t>
      </w:r>
    </w:p>
    <w:p>
      <w:r>
        <w:t>VD Tribunal cantonal, 2015-10-23, FR</w:t>
      </w:r>
    </w:p>
    <w:p>
      <w:r>
        <w:rPr>
          <w:b/>
        </w:rPr>
        <w:t xml:space="preserve">Quelle: </w:t>
      </w:r>
      <w:r>
        <w:t>https://mcp.opencaselaw.ch/entscheid/vd_omni_FI.2015.0032</w:t>
      </w:r>
    </w:p>
    <w:p>
      <w:r>
        <w:t>FR: VD_OMNI FI.2015.0032 du 23 octobre 2015</w:t>
      </w:r>
    </w:p>
    <w:p>
      <w:r>
        <w:t>IT: VD_OMNI FI.2015.0032 del 23 ottobre 2015</w:t>
      </w:r>
    </w:p>
    <w:p>
      <w:pPr>
        <w:pStyle w:val="Heading2"/>
      </w:pPr>
      <w:r>
        <w:t>Regeste</w:t>
      </w:r>
    </w:p>
    <w:p>
      <w:r>
        <w:t>X.________ SA/Commission communale de recours en matière d'impôts de la Commune de Préverenges, Municipalité de Préverenges | Taxe de raccordement au réseau d'approvisionnement en eau pour un bâtiment comportant deux parties distinctes, séparées par un mur en béton: une partie "bureau" de 510 m3, raccordée, et une partie "dépôts industriels", non raccordée. La taxe comprend deux composantes: l'une qui dépend des unités raccordées et l'autre qui est fonction du volume SIA. La société exploitant le bâtiment demande que seul le volume de la partie "bureau" soit prise en compte dans le calcul de la taxe. Refus de la commune, confirmé par la CDAP: s'agissant de la partie "dépôts industriels", le calcul d'après le volume SIA est certes défavorable, mais cela est compensé par l'autre composante de la taxe, puisqu'il n'y a pas d'unités raccordées dans cette partie du bâtiment (pas de "robinets", mais en revanche des extincteurs anti-feu, de sorte que le raccordement présente tout de même une certaine utilité pour ces locaux).</w:t>
      </w:r>
    </w:p>
    <w:p>
      <w:pPr>
        <w:pStyle w:val="Heading2"/>
      </w:pPr>
      <w:r>
        <w:t>Erwägungen</w:t>
      </w:r>
    </w:p>
    <w:p>
      <w:r>
        <w:rPr>
          <w:b/>
        </w:rPr>
        <w:t>E. 1</w:t>
      </w:r>
    </w:p>
    <w:p>
      <w:r>
        <w:t>Aux termes de l’art. 47a de la loi cantonale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En l'occurrence, le recours ayant été interjeté dans la forme prescrite (cf. art. 79 en rel. avec l'art. 99 de la loi cantonale du 28 octobre 2008 sur la procédure administrative [LPA-VD; RSV 173.36]) et le délai de trente jours (cf. art. 95 LPA-VD), il y a lieu d’entrer en matière.</w:t>
      </w:r>
    </w:p>
    <w:p>
      <w:r>
        <w:rPr>
          <w:b/>
        </w:rPr>
        <w:t>E. 2</w:t>
      </w:r>
    </w:p>
    <w:p>
      <w:r>
        <w:t>A titre de mesures d'instruction, la recourante a requis une inspection locale, ainsi que l'audition comme témoins de son architecte A. Y.________, ainsi que de B. Z.________, collaborateur de Eauservice avec qui elle a eu un contact téléphonique et qui lui aurait dit "qu'il y avait quelques fois des traitements au cas par cas et des exceptions" (réplique, p. 6).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140 I 285 consid. 6.3.1; 136 I 229 consid. 5.3 p. 236; 134 I 140 consid. 5.3 p. 148 et les références). b) En l'espèce, la Cour estime que, sur la base du dossier, elle est suffisamment renseignée en ce qui concerne le bâtiment en cause, sans qu'il soit nécessaire de procéder à une inspection locale ni d'entendre l'architecte de la recourante. Quant au fait que la pratique connaît des dérogations et/ou des exemptions, cela s'impose dans certaines situations en vertu de la jurisprudence (cf. consid. 3b ci-après). Point n'est besoin d'entendre B. Z.________ à cet égard. Il n'est donc pas donné suite aux réquisitions de mesures d'instruction de la recourante.</w:t>
      </w:r>
    </w:p>
    <w:p>
      <w:r>
        <w:rPr>
          <w:b/>
        </w:rPr>
        <w:t>E. 3</w:t>
      </w:r>
    </w:p>
    <w:p>
      <w:r>
        <w:t>a) Parmi les contributions publiques, la doctrine récente distingue entre les impôts, les contributions causales et les taxes d'orientation (ATF 135 I 130 consid. 2; Blumenstein/Locher, System des schweizerischen Steuerrechts, 6ème éd., 2002, p. 5 s.; Xavier Oberson, Droit fiscal suisse, 4ème éd., 2012, § 1 no 3; Ryser/Rolli, Précis de droit fiscal suisse, 4ème éd.,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(ATF 135 I 130 consid. 2 et réf.). Généralement, les contributions causales se subdivisent en trois sous-catégories: les émoluments, les charges de préférence et les taxes de remplacement (ATF 135 I 130 consid. 2 et réf.). L'émolument représente la contrepartie de la fourniture d'un service par l'Etat – émolument administratif – ou de l'utilisation d'une infrastructure publique – émolument d'utilisation. Il en existe d'autres sortes, telles que les taxes régaliennes (Blumenstein/Locher, op. cit., p. 2 s.; Oberson, op. cit., § 1 no 7). La charge de préférence est une contribution causale destinée à financer des installations, institutions ou services que l'Etat fournit dans l'intérêt général, mais qui procurent des avantages économiques spécifiques à certaines catégories de contribuables (cf. ATF  131 I 313 consid. 3.3; TF 2C_466/2008 du 10 juillet 2009 consid. 4.2.2).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138 II 70 consid. 5.3; 135 I 130 consid. 2 et les réf., not. à Adrian Hungerbühler, Grundsätze des Kausalabgabenrechts, ZBl 2003 p. 505 ss, 512). S'agissant du principe de l'équivalence, la valeur objective de la prestation peut être déterminée par l'avantage économique obtenu par le débiteur de la contribution, ou par le coût de la mise à contribution par celui-ci – dans le cas concret – des prestations étatiques, rapporté à l'ensemble des coûts liés à ces dernières (ATF 139 III 334 consid. 3.2.4). La jurisprudence et la doctrine tendent à se fonder de préférence sur l'avantage économique obtenu (cf. Michael Beusch, Abgaberecht, in: Fachhandbuch Verwaltungsrecht, 2015, no 22.79 et les réf. citées en note de bas de page 166; Felix Uhlmann, Kriterien der Bemessung von Kausalabgaben in der Praxis, in: Kausalabgaben, 2015, p. 87 ss, 89 ). L'avantage économique retiré par chaque bénéficiaire d'un service public est souvent difficile à déterminer en pratique. Pour cette raison, la jurisprudence admet un certain schématisme dans le choix, par le législateur communal, des critères permettant de cerner l'avantage qu'un propriétaire retire du raccordement de son immeuble au réseau collectif, tout comme elle admet que les taxes d'utilisation soient aménagées de manière schématique et tiennent compte de normes fondées sur des situations moyennes (ATF 128 I 46 consid. 4a p. 53; 126 I 180 consid. 3a/bb p. 188; 122 I 61 consid. 3b p. 67; TF 2C_173/2013 du 17 juillet 2013 consid. 5.1). Les contributions doivent être établies selon des critères objectifs et s'abstenir de créer des différences qui ne seraient pas justifiées par des motifs pertinents (ATF 128 I 46 consid. 4a p. 52 et les arrêts cités; Hungerbühler, op. cit., p. 522 s.).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132 I 157 consid. 4.1 p. 162; 131 I 394 consid. 4.2 p. 399; 130 I 65 consid. 3.6 p. 70 et la jurisprudence citée). L'égalité de traitement ne revêt toutefois pas un caractère absolu en matière de taxes, mais s'accommode de certaines différences ou assimilations, qui sont la conséquence du schématisme admis en cette matière (ATF 108 Ia 111 consid. 2b p. 114 et réf. citées).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Danielle Yersin, L'égalité de traitement en droit fiscal, RDS 1992 II p. 144 ss, not. p. 210). S'agissant du schématisme dans le calcul des contributions, le Tribunal fédéral procède à un double examen: la réglementation doit reposer sur des motifs raisonnables et ne doit pas conduire dans le cas particulier à un résultat choquant (Uhlmann, op. cit., p. 92). b) Pour la fixation du montant des taxes uniques de raccordement au réseau d'épuration des eaux ou d'approvisionnement en eau (les règles étant pour l'essentiel les mêmes dans les deux cas: arrêt du TF 2C_722/2009 du 8 novembre 2010 consid. 3.1), il n'est pas nécessaire de prendre en considération toutes les circonstances qui influent, dans le cas concret, sur la mise à contribution du réseau. Il est possible de se baser sur des critères tels que la valeur d'assurance (arrêt 2C_722/2009 précité consid. 3.2) ou le volume du bâtiment (arrêt du TF 2C_101/2007 du 22 août 2007 consid. 4.4), qui permettent d'appréhender la mesure dans laquelle le réseau sera mis à contribution (cf. Wiederkehr/Richli, Praxis des allgemeinen Verwaltungsrechts, Band II, 2014, nos 650 s. et les réf.). C'est seulement lorsqu'il est prévisible que le bâtiment mettra à contribution le réseau dans une mesure extraordinairement importante ou au contraire extraordinairement faible qu'il s'impose, pour des motifs d'égalité et d'interdiction de l'arbitraire, de s'écarter de ce schématisme dans la fixation de la taxe. Il peut en aller ainsi notamment dans le cas de bâtiments industriels présentant un volume important (arrêts du TF 2C_722/2009 précité consid. 3.3; 2C_847/2008 du 8 septembre 2009 consid. 2.1; voir aussi Wiederkehr/Richli, op. cit., no 652). Outre l'affectation du bâtiment (laquelle est liée à la mise à contribution du réseau), le coût de ce dernier joue également un rôle (arrêts du TF 2C_101/2007 précité consid. 4.3; 2P.205/2005 du 15 mars 2006 consid. 3.2; 2P.262/2005 du 9 février 2006 consid. 3.1). Ainsi, dans le cas d'une halle d'exposition de meubles de grandes dimensions (surface brute de plancher de 12'879 m2), comprenant un nombre limité de débits d'eau (17), le Tribunal fédéral a considéré qu'il était contraire au principe d'égalité et arbitraire d'appliquer le critère de la surface utilisable – le seul prévu par la réglementation communale – pour calculer le montant de la taxe de raccordement au réseau de distribution d'eau potable (la taxe se montait à 154'548 fr. = 12'879 m2 × 12 fr.). Si, dans la majorité des cas, ce critère conduisait à des résultats admissibles, ce schématisme devait être corrigé dans des situations atypiques, comme en présence de constructions de très grandes dimensions au sol dont la consommation serait proportionnellement minime. Sur la base du seul critère de la surface utilisable, la taxe litigieuse était fixée au même montant que celle due pour la construction de 120 appartements d'environ 100 m2 de surface chacun avec 3 débits d'eau, alors que, manifestement, la consommation d'eau possible n'était pas comparable dans les deux cas. Dans la mesure où elle n'instaurait aucune clause d'exemption ou d'exonération partielle pour des cas atypiques comme celui de la recourante, la réglementation communale choquait le sentiment de justice et devait être qualifiée d'arbitraire dans ses conséquences (arrêt 2P.301/1991 du 2 juillet 1992 consid. 3). Le Tribunal fédéral s'est également prononcé dans le cas d'un entrepôt à rayonnages en hauteur ("Hochregallager") de 403'180 m3, pour lequel une taxe de raccordement de 1'310'335 fr. avait été fixée. La réglementation communale faisait dépendre le montant de la taxe de raccordement (aux réseaux d'évacuation et d'approvisionnement en eau) du volume du bâtiment. Le prix unitaire ordinaire (10 fr. 90 par m3) était réduit à 3 fr. 25 (soit env. 30% de 10 fr. 90) pour les entrepôts d'un volume de plus de 500 m3. Le Tribunal fédéral a estimé que cette réduction tenait suffisamment compte du fait que les entrepôts, tout en présentant de gros volumes, ne génèrent pas des eaux usées dans une mesure comparable à celle de bâtiments d'habitation ou de bâtiments industriels à utilisation intensive de même volume. Il n'y avait pas lieu de prévoir un correctif pour tenir compte du fait qu'il s'agissait en l'occurrence d'un entrepôt de type particulier. Selon le Tribunal fédéral, le recours au (seul) critère du volume pour calculer le montant de la taxe n'aurait été choquant et inacceptable, sous l'angle des principes de l'équivalence et de l'égalité, qu'en présence de bâtiments de grand volume restant vides, car ne pouvant être utilisés comme entrepôts ou de toute autre manière (arrêt 2C_101/2007 précité consid. 4.4). Pour sa part, le Tribunal administratif – auquel la Cour de céans a succédé – a jugé – en se référant à l'arrêt du TF  2P.301/1991 précité – qu'une taxe de raccordement au réseau d'évacuation des eaux claires de 195'005 fr., calculée en fonction du volume, pour une serre de 90'700 m3 était contraire au principe d'égalité. La taxe avait été réduite de 50% pour tenir compte du fait que la serre avait été raccordée uniquement au réseau d'évacuation des eaux claires ([90'700 m3 × prix unitaire de 4 fr. = 362'800 fr.] – 50% de 362'800 = 181'400 + TVA = 195'005 fr.). Toutefois, le critère du volume construit apparaissait comme inadéquat dans le cas des serres – lequel n'avait pas été envisagé par le législateur communal –, car la quantité des eaux de pluie à évacuer dépendait plus exactement des surfaces étanchéifiées. En outre, il fallait tenir compte du fait que la parcelle en cause se trouvait en zone horticole et maraîchère et que la plus-value découlant de la réalisation du collecteur communal d'eaux claires n'était pas comparable à celle obtenue dans une zone à bâtir. La taxe litigieuse ne pouvait donc être calculée sans correctif conformément au règlement communal, qui ne comportait pas de clause d'exemption ou d'exonération partielle pour des cas atypiques comme celui de l'espèce (arrêt FI.1999/0057 du 16 décembre 1999 consid. 2b/cc et dd).</w:t>
      </w:r>
    </w:p>
    <w:p>
      <w:r>
        <w:rPr>
          <w:b/>
        </w:rPr>
        <w:t>E. 4</w:t>
      </w:r>
    </w:p>
    <w:p>
      <w:r>
        <w:t>a) Selon l'art. 1 al. 1 de la loi cantonale du 30 novembre 1964 sur la distribution de l’eau (LDE; RSV 721.31), dans sa teneur en vigueur depuis le 1 er août 2013,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L'eau peut être fournie par la commune, ce qui est la règle (art. 4 al. 1 LDE), ou par plusieurs communes agissant dans le cadre d'une collaboration intercommunale (art. 4 al. 2 LDE). La fourniture de l'eau peut en outre être concédée à un distributeur: d'après l'art. 6 al. 1 LDE, la commune peut confier la distribution de l'eau sur son territoire à une personne morale à but non lucratif, de droit privé ou de droit public et offrant des garanties suffisantes; elle lui accorde une concession régissant les conditions de la distribution et qui n'entre en force qu'après avoir été approuvée par le conseil communal ou général et le chef de département. Selon l'art. 14 al. 1 LDE, pour la livraison de l’eau, la commune, respectivement le distributeur, peut exiger du propriétaire, conformément à l'art. 4 LICom, notamment le paiement d’une taxe unique fixée au moment du raccordement direct ou indirect au réseau principal (let. a). Le règlement communal, respectivement la concession, définit les modalités de calcul des taxes ainsi que le cercle des contribuables qui y sont assujettis (art. 14 al. 2 LDE). La compétence tarifaire de détail peut être déléguée à l'organe exécutif ou au distributeur, dans le cadre fixé par le règlement, respectivement la concession, qui définit dans ce cas le montant maximal des taxes en plus de ce qui est prévu à l'alinéa 2 (art. 14 al. 2bis LDE). Quant à l’art. 4 LICom, il autorise les communes à percevoir des taxes spéciales en contrepartie de prestations ou d'avantages déterminés ou de dépenses particulières (al. 1). Ces taxes font l’objet de règlements communaux soumis à l'approbation du chef de département concerné (al. 2). Elles ne peuvent être perçues qu’auprès des personnes bénéficiant des prestations ou avantages ou ayant provoqué les dépenses dont elles constituent la contrepartie (al. 3). Leur montant doit être proportionné à ces prestations, avantages ou dépenses (al. 4). b) Par acte de concession du 10 novembre 1994 (ci-après: la concession), approuvé par le Conseil d'Etat le 5 avril 1995, la commune de Préverenges (concédant) a conféré à la commune de Lausanne (concessionnaire) le droit exclusif de distribuer l'eau sur son territoire, par l'intermédiaire du service des eaux de la direction des Services industriels (art. 1 al. 1 de la concession). L'art. 4 de la concession a la teneur suivante: "Le concessionnaire est autorisé à percevoir du propriétaire ou de son représentant: a) au moment du raccordement direct ou indirect du bâtiment au réseau principal de distribution, une finance unique de raccordement, fixée par application analogique de l'article 42 du Règlement lausannois sur la distribution de l'eau (RDE); b) lorsque le bâtiment est transformé ou agrandi, une finance complémentaire sur l'augmentation des unités raccordées et des mètres cubes SIA (43 RDE). Demeurent réservées les exemptions pour les bâtiments communaux non productifs." Le 29 mars 1966, le Conseil communal de la ville de Lausanne a adopté un règlement sur la distribution d'eau (ci-après: le règlement), approuvé par le Conseil d'Etat le 17 mai 1966. Celui-ci est également applicable dans les communes qui confient à la commune de Lausanne la distribution de l'eau sur leur territoire en vertu d'une concession, le règlement s'appliquant alors dans les limites et aux conditions fixées par la concession (art. 1). Sous le titre "12. Taxes", les art. 42 et 43 dudit règlement disposent ce qui suit: "Art. 42 Une taxe unique est perçue au moment du raccordement direct ou indirect au réseau principal de distribution. Elle est calculée de la manière suivante: - Entre 80 francs et 100 francs par unité raccordée (UR) telle que définie dans les directives W3 de la SSIGE. - Entre 1.50 franc et 2 francs par m3 du volume SIA indiqué dans la demande de permis de construire. La Municipalité est chargée de fixer les valeurs de référence en fonction de l’évolution des coûts. Cette disposition s’applique également aux constructions nouvelles après démolition complète d’un bâtiment existant. Art. 43 Si le bâtiment est transformé ou agrandi, une taxe sera perçue sur l'augmentation des unités raccordées (UR) et des m3 selon l’article 42." Sous le titre "13. Conventions. Abonnements spéciaux", l'art. 44 a la teneur suivante: "Les SI sont compétents pour passer des conventions au nom de la commune en vue de fournir l'eau au-delà de ses obligations légales, par exemple lorsqu'il s'agit de l'eau industrielle. Ces conventions peuvent déroger aux articles 42 et 43." c) Les taxes de raccordement au réseau de distribution d’eau sont des contributions causales, liées à un avantage dont les débiteurs bénéficient de manière particulière, contrairement aux autres administrés. La contribution unique de raccordement instituée par l'art. 14 al. 1 let. a LDE a pour principale fonction de compenser l'avantage économique que retire le propriétaire de l'équipement de distribution d'eau et, partant, l'augmentation de valeur de son bien-fonds. Les réseaux de distribution d'eau potable confèrent aux biens-fonds privés une plus-value justifiant la perception d'une contribution auprès de leurs propriétaires. La concrétisation de cette plus-value apparaît notamment lors de la construction de bâtiments, respectivement lors de la transformation et de l'agrandissement de ces derniers (ATF 129 I 346 consid. 5.1 p. 354; arrêts FI.2014.0047 du 18 novembre 2014 consid. 4c; FI.2013.0048 du 11 juin 2014 consid. 3a).</w:t>
      </w:r>
    </w:p>
    <w:p>
      <w:r>
        <w:rPr>
          <w:b/>
        </w:rPr>
        <w:t>E. 5</w:t>
      </w:r>
    </w:p>
    <w:p>
      <w:r>
        <w:t>a) La recourante se plaint d'une constatation incomplète et inexacte des faits. Elle relève que le sol des deux étages de la partie "box" est revêtu de moquette et ne sera pas nettoyé avec de l'eau. Par conséquent, cette partie du bâtiment ne serait pas comparable à une gare ou à un sous-sol de garage et la jurisprudence y relative serait sans pertinence en l'espèce. La recourante conteste en outre la constatation de l'autorité intimée selon laquelle le bâtiment constitue une seule entité. Elle souligne que les deux parties sont entièrement séparées par un mur et qu'il faut sortir du bâtiment pour passer de l'une à l'autre. La recourante dénonce ensuite la violation des principes de l'équivalence, d'égalité, ainsi que de l'interdiction de l'arbitraire. Elle fait valoir que, la partie "box" étant dépourvue de tout poste d'eau, le raccordement ne lui procurera aucun, ou seulement un infime avantage (lié à l'utilisation exceptionnelle des extincteurs anti-feu) en contrepartie de la taxe litigieuse, de sorte que le principe d'équivalence serait violé. Plus généralement, l'application indifférenciée du critère du volume pour tous les bâtiments (qu'il s'agisse de locaux commerciaux ou d'habitation, etc.) constituerait un schématisme incompatible avec les principes d'égalité et d'interdiction de l'arbitraire. La recourante se prévaut de l'arrêt 2P.301/1991 précité. b) Selon le règlement, la taxe litigieuse comprend deux composantes: l'une qui est fonction des unités raccordées et l'autre du volume. La composante fondée sur le volume est d'un montant plutôt modique, si l'on compare le prix unitaire prévu par cette réglementation (entre 1 fr. 50 et 2 fr; en l'espèce 1 fr. 50) avec les tarifs appliqués dans d'autres affaires (2C_101/2007 et FI.1999/0057) où la taxe était calculée sur la base du (seul) critère du volume. Le règlement prévoit toutefois une seconde composante qui dépend des unités raccordées. Or, ce dernier critère permet d'appréhender de manière plus précise et donc moins schématique que celui du volume la mesure dans laquelle le réseau de distribution de l'eau sera mis à contribution. A défaut d'un régime particulier (comme dans l'affaire précitée 2C_101/2007, où la taxe due pour les entrepôts d'un volume de plus de 500 m3 était calculée selon un prix unitaire réduit), il permet de tenir compte du fait que, pour un volume équivalant, certains bâtiments tels que les dépôts mettent à contribution le réseau d'une manière moindre que d'autres. Le bâtiment en question a ceci de particulier que s'il présente une unité architecturale (forme rectangulaire de 30 m par 23 m selon les plans figurant au dossier de la cause), il est séparé au rez-de-chaussée par un mur intérieur en béton en deux parties: une partie "bureau", raccordée, et une partie "surface de stockage" ou "box", dépourvue de sanitaires. Comme la recourante l'indique elle-même, le raccordement lui sera toutefois d'une certaine utilité aussi pour la partie "box", dans la mesure où cela est nécessaire à la mise en fonction des extincteurs anti-feu. La recourante minimise toutefois cet avantage lorsqu'elle le qualifie d'infime. En effet, on peut partir de l'idée que la présence de dispositifs anti-feu dans une halle de stockage fait partie de l'équipement standard attendu par les clients potentiels d'une telle installation. D'un point de vue économique, on ne saurait dire par conséquent que le raccordement ne procure à la recourante aucun avantage – ou seulement un avantage infime – en relation avec la partie "box". Par ailleurs, la composante basée sur les unités raccordées permet de tenir compte de ce que la partie "box" mettra à contribution le réseau dans une mesure moindre qu'un bâtiment industriel à utilisation intensive ou qu'un bâtiment d'habitation de même volume. L'usage de ce critère permet ainsi de corriger le schématisme lié au critère du volume. Au vu de l'avantage économique procuré aussi pour la partie "box", ainsi que de l'effet correcteur du critère des unités raccordées, il n'y a pas lieu de distinguer entre les deux parties, comme le voudrait la recourante. En effet, dans ces conditions, les situations des deux parties ne sont pas aussi dissemblables que le prétend cette dernière et il convient par conséquent de prendre en considération, pour le calcul de la taxe litigieuse, le volume et les unités raccordées de l'ensemble du bâtiment. Pour le reste, la réglementation communale ne conduit pas, dans le cas particulier, à un résultat choquant. Le montant de 10'803 fr. n'apparaît nullement comme exorbitant, au regard notamment du coût de l'ouvrage. Comme déjà relevé ci-dessus, la partie de la taxe dépendant du volume – qui est la composante "défavorable" s'agissant de la partie "box" – est plutôt modique en comparaison avec les tarifs pratiqués par d'autres communes se fondant sur le (seul) critère du volume. Quant à l'autre composante, elle est très clairement à l'avantage de la recourante pour ce qui est toujours de la partie "box", puisque celle-ci ne comporte aucune unité raccordée. Quoi qu'il en soit, on est loin, en l'occurrence, des situations exceptionnelles où, selon la jurisprudence, les principes de l'équivalence, de l'égalité et de l'interdiction de l'arbitraire commandent d'exonérer une personne en tout ou en partie de la taxe calculée sur la base d'un (seul) critère tel que le volume (ainsi dans la cause FI.1999/0057) ou la surface utilisable (comme dans l'affaire 2P.301/1991). En particulier, on ne se trouve pas dans le cas évoqué par le Tribunal fédéral d'un bâtiment de grand volume restant vide, car ne pouvant être utilisé comme entrepôt ou de toute autre manière. Une exemption – que l a réglementation communale prévoit seulement pour les "bâtiments communaux non productifs" (art. 4 de la concession), mais qui pourrait s'imposer dans d'autres situations exceptionnelles selon la jurisprudence – n'est donc pas nécessaire en l'espèce. Même au regard de l'état de fait tel qu'il est présenté par la recourante, les griefs de violation des principes de l'équivalence, d'égalité, ainsi que de l'interdiction de l'arbitraire sont ainsi mal fondés.</w:t>
      </w:r>
    </w:p>
    <w:p>
      <w:r>
        <w:rPr>
          <w:b/>
        </w:rPr>
        <w:t>E. 6</w:t>
      </w:r>
    </w:p>
    <w:p>
      <w:r>
        <w:t>Au vu de ce qui précède, le recours doit être rejeté. Succombant, la recourante supportera les frais de justice et n'a pas droit à des dépens (cf. art. 49 al. 1 et art. 55 al. 1 a contrario LPA-VD). La commune de Préverenges, qui a procédé par l'intermédiaire d'un mandataire professionnel, a droit à des dépens, qui seront mis à la charge de la recourante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