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FI.2014.0036 vom 22. April 2014</w:t>
      </w:r>
    </w:p>
    <w:p>
      <w:r>
        <w:t>VD Tribunal cantonal, 2014-04-22, FR</w:t>
      </w:r>
    </w:p>
    <w:p>
      <w:r>
        <w:rPr>
          <w:b/>
        </w:rPr>
        <w:t xml:space="preserve">Quelle: </w:t>
      </w:r>
      <w:r>
        <w:t>https://mcp.opencaselaw.ch/entscheid/vd_omni_FI.2014.0036</w:t>
      </w:r>
    </w:p>
    <w:p>
      <w:r>
        <w:t>FR: VD_OMNI FI.2014.0036 du 22 avril 2014</w:t>
      </w:r>
    </w:p>
    <w:p>
      <w:r>
        <w:t>IT: VD_OMNI FI.2014.0036 del 22 aprile 2014</w:t>
      </w:r>
    </w:p>
    <w:p>
      <w:pPr>
        <w:pStyle w:val="Heading2"/>
      </w:pPr>
      <w:r>
        <w:t>Regeste</w:t>
      </w:r>
    </w:p>
    <w:p>
      <w:r>
        <w:t>A. X.________/Service des automobiles et de la navigation | Retrait du permis de circulation et des plaques d'immatriculation. L'intervention du SAN était justifiée, dès lors qu'il avait reçu un avis de cessation d'assurance RC. Emolument confirmé.</w:t>
      </w:r>
    </w:p>
    <w:p>
      <w:pPr>
        <w:pStyle w:val="Heading2"/>
      </w:pPr>
      <w:r>
        <w:t>Erwägungen</w:t>
      </w:r>
    </w:p>
    <w:p>
      <w:r>
        <w:rPr>
          <w:b/>
        </w:rPr>
        <w:t>E. 1</w:t>
      </w:r>
    </w:p>
    <w:p>
      <w:r>
        <w:t>La décision attaquée n’est pas une mesure de retrait de permis ou d’interdiction de conduire prononcée à l’égard d’un conducteur, au sens de l’art. 21 al. 1 de la loi vaudoise sur la circulation routière du 25 novembre 1974 (LVCR; RSV 741.01), de sorte qu’elle n’est pas susceptible de réclamation (art. 21 al. 2 LVCR). Elle peut donc faire l’objet d’un recours direct au Tribunal cantonal (art. 92 al. 1 LPA-VD), lequel s’exerce dans les 30 jours dès la notification de la décision attaquée (arrêts CR.2013.0048 du 29 août 2013 et CR.2012.0074 du 11 mars 2013). Déposé en temps utile, le recours satisfait aux conditions formelles énoncées à l'art. 79 LPA-VD. Il y a donc lieu d'entrer en matière sur le fond.</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Les considérants qui précèdent conduisent au rejet du recours et à la confirmation de la décision attaquée en tant qu'elle met à la charge du recourant un émolument de 200 francs. Le recourant, qui succombe, supportera les frais de justice (art. 49 al. 1 LPA-VD). Il n'y a pas lieu d'allouer de dépens ( art. 55 al. 1 a contrario et 56 al. 3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