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FI.2014.0015 vom 29. Mai 2015</w:t>
      </w:r>
    </w:p>
    <w:p>
      <w:r>
        <w:t>VD Tribunal cantonal, 2015-05-29, FR</w:t>
      </w:r>
    </w:p>
    <w:p>
      <w:r>
        <w:rPr>
          <w:b/>
        </w:rPr>
        <w:t xml:space="preserve">Quelle: </w:t>
      </w:r>
      <w:r>
        <w:t>https://mcp.opencaselaw.ch/entscheid/vd_omni_FI.2014.0015</w:t>
      </w:r>
    </w:p>
    <w:p>
      <w:r>
        <w:t>FR: VD_OMNI FI.2014.0015 du 29 mai 2015</w:t>
      </w:r>
    </w:p>
    <w:p>
      <w:r>
        <w:t>IT: VD_OMNI FI.2014.0015 del 29 maggio 2015</w:t>
      </w:r>
    </w:p>
    <w:p>
      <w:pPr>
        <w:pStyle w:val="Heading2"/>
      </w:pPr>
      <w:r>
        <w:t>Regeste</w:t>
      </w:r>
    </w:p>
    <w:p>
      <w:r>
        <w:t>Municipalité de Gland/Commission communale de recours en matière d'impôts de la Commune de Gland, A. X.________ | Taxe d'élimination des déchets. L'interprétation de la règlementation communale que la commission communale de recours a faite et selon laquelle la taxe forfaitaire doit être calculée pro rata temporis est manifestement contraire à la volonté du législateur communal. Elle ne repose par ailleurs sur aucun élément, que ce soit le texte de la disposition, sa ratio legis ou la systématique du règlement. Elle est dès lors erronée et doit être écartée. (consid. 3)</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La Commune perçoit des taxes pour couvrir les frais de gestion des déchets urbains. Le législatif communal en définit les modalités à l'article 11 ci-dessous, soit en particulier le cercle des assujettis, le mode de calcul et le montant maximal de la contribution.</w:t>
      </w:r>
    </w:p>
    <w:p>
      <w:r>
        <w:rPr>
          <w:b/>
        </w:rPr>
        <w:t>E. 3</w:t>
      </w:r>
    </w:p>
    <w:p>
      <w:r>
        <w:t>A l'appui de la décision attaquée, l'autorité intimée a retenu que l'art. 11 let. b al. 3 RGD pouvait être interprété comme n'excluant pas un calcul de la taxe pro rata temporis , même s'il ne le précisait pas formellement. Elle a donc admis le recours de la contribuable, qui se plaignait de devoir payer l'entier de la taxe alors qu'elle n'avait été domiciliée dans la commune qu'une partie de l'année. La recourante conteste cette interprétation, qui serait à son sens contraire à la volonté du législatif communal. Elle se réfère à cet égard aux travaux préparatoires, soit le procès-verbal de la séance du conseil communal du 15 novembre 2012.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135 II 78 consid. 2.2; 133 III 175 consid. 3.3.1; ATF 133 V 57 consid. 6.1 et les références citées). Pour l’interprétation de normes récentes, les travaux préparatoires prennent cependant une importance particulière (ATF 140 IV 163 consid. 4.6 p. 167; 139 III 98 consid. 3.1 p. 100; 139 IV 282 consid. 2.4.1 p. 286, et les arrêts cités), pour autant qu’ils apportent une réponse claire à une disposition légale ambiguë et qu’ils ont trouvé leur expression dans le texte même de la loi (ATF 139 III 457 consid. 4.4 p. 461, 491 consid. 4.3 p. 493; 139 V 537 consid. 5.1 p. 544/545, et les arrêts cités; ATAF 2007/4 consid. 3.1). b) En l'espèce, l'interprétation littérale ne permet pas d'aboutir à un résultat clair. L'autorité intimée le reconnaît du reste, puisqu'elle relève dans la décision attaquée que l'art. 11 let. b al. 3 RGD est " flou ". S'agissant d'un texte récent, il convient d'examiner les travaux préparatoires, qui revêtent dans ces circonstances une importance particulière. Il ressort à cet égard du procès-verbal de la séance du conseil communal du 15 novembre 2012 qu'une discussion a eu lieu sur un amendement à l'art. 11 let. b al. 3 RGD, qui proposait d'introduire une seconde phrase à la fin du texte initial, dont la teneur était la suivante: " En cas de départ ou d'arrivée en cours d'année, la taxe est due par mois entier et calculée prorata temporis ." Cet amendement a été refusé à une large majorité, avec trois avis contraires et trois abstentions. Ainsi, comme le relève à juste titre la recourante, le conseil communal s'est clairement opposé à un calcul de la taxe pro rata temporis. L'interprétation qu'a faite l'autorité intimée de l'art. 11 let. b al. 3 RGD est dès lors manifestement contraire à la volonté du législateur communal. Elle ne repose par ailleurs sur aucun élément, que ce soit le texte de la disposition, sa ratio legis ou la systématique du règlement. Elle est dès lors erronée et doit être écartée (voir arrêts FI.2014.0004/5/6/7/8/9 du 23 avril 2015, consid. 3).</w:t>
      </w:r>
    </w:p>
    <w:p>
      <w:r>
        <w:rPr>
          <w:b/>
        </w:rPr>
        <w:t>E. 4</w:t>
      </w:r>
    </w:p>
    <w:p>
      <w:r>
        <w:t>Dans ses écritures, l'autorité intimée souligne que la non-application d'un calcul pro rata temporis aboutirait à une double taxation. L'art. 127 al. 3 de la Constitution fédérale de la Confédération suisse du 18 avril 1999 (Cst.; RS 101) interdit la double imposition. Selon la jurisprudence, il y a double imposition prohibée lorsqu'un seul et même contribuable est tenu par deux ou plusieurs cantons de payer un impôt similaire pour la même période et le même objet (en particulier ATF 134 I 303 consid. 2.1 et les références citées). L'art. 127 al. 3 Cst interdit également qu'un canton, en violation des règles de conflit, outrepasse sa souveraineté fiscale en percevant un impôt de la compétence d'un autre canton (ibid.). La double imposition n'est ici que virtuelle car l'interdiction s'applique même si le canton compétent ne perçoit pas d'imposition (Xavier Oberson, Droit fiscal suisse, 4 ème éd., Bâle 2012, p. 475). L'art. 127 al. 3 Cst. ne s'applique qu'aux impôts. Les taxes causales, comme en l'occurrence la taxe d'élimination des ordures litigieuse (ATF 138 II 70 consid. 5.3), ne sont pas concernées (Xavier Oberson, op. cit., p. 475). Ainsi, peu importe qu'en cas de déménagement en cours d'année, les habitants de la Commune de Gland risquent de devoir payer une seconde fois la taxe forfaitaire suivant le règlement sur les déchets de la nouvelle Commune de domicile. Cette éventualité n'a pas pour effet d'invalider la règlementation litigieuse (voir arrêts FI.2014.0004/5/6/7/8/9 du 23 avril 2015, consid. 4).</w:t>
      </w:r>
    </w:p>
    <w:p>
      <w:r>
        <w:rPr>
          <w:b/>
        </w:rPr>
        <w:t>E. 5</w:t>
      </w:r>
    </w:p>
    <w:p>
      <w:r>
        <w:t>L'autorité intimée soutient encore que la non-application d'un calcul pro rata temporis est contraire au principe de l'équivalence, car les personnes concernées ne peuvent bénéficier durant toute l'année des installations et services communaux liés à l'élimination des déchets.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En l'espèce, compte tenu du montant modique de la taxe forfaitaire (75 fr. 60), le fait que le législateur communal ait exclu un calcul pro rata temporis pour des raisons pratiques, notamment pour éviter une surcharge administrative, constitue un schématisme admissible sous l'angle du principe de l'équivalence (voir arrêts FI.2014.0004/5/6/7/8/9 du 23 avril 2015, consid. 5) .</w:t>
      </w:r>
    </w:p>
    <w:p>
      <w:r>
        <w:rPr>
          <w:b/>
        </w:rPr>
        <w:t>E. 6</w:t>
      </w:r>
    </w:p>
    <w:p>
      <w:r>
        <w:t>Les considérants qui précèdent conduisent à l'admission du recours et à la réforme de la décision attaquée en ce sens que le recours déposé par A. X.________ est rejeté et que la facture du 27 septembre 2013 est confirmée.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