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FI.2014.0001 vom 28. Januar 2014</w:t>
      </w:r>
    </w:p>
    <w:p>
      <w:r>
        <w:t>VD Tribunal cantonal, 2014-01-28, FR</w:t>
      </w:r>
    </w:p>
    <w:p>
      <w:r>
        <w:rPr>
          <w:b/>
        </w:rPr>
        <w:t xml:space="preserve">Quelle: </w:t>
      </w:r>
      <w:r>
        <w:t>https://mcp.opencaselaw.ch/entscheid/vd_omni_FI.2014.0001</w:t>
      </w:r>
    </w:p>
    <w:p>
      <w:r>
        <w:t>FR: VD_OMNI FI.2014.0001 du 28 janvier 2014</w:t>
      </w:r>
    </w:p>
    <w:p>
      <w:r>
        <w:t>IT: VD_OMNI FI.2014.0001 del 28 gennaio 2014</w:t>
      </w:r>
    </w:p>
    <w:p>
      <w:pPr>
        <w:pStyle w:val="Heading2"/>
      </w:pPr>
      <w:r>
        <w:t>Regeste</w:t>
      </w:r>
    </w:p>
    <w:p>
      <w:r>
        <w:t>A. X.________/COMMUNE DE BELMONT-SUR LAUSANNE | La décision attaquée étant une décision de taxation communale, il appartient en premier lieu à la Commission communale de recours en matière d'impôts de se prononcer sur le recours. Recours devant la CDAP irrecevable, la cause étant transmise à la commission concernée comme objet de sa compétence.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mars 2011 consid. 3), - qu'une telle décision d'irrecevabilité relève de la compétence de la Cour de droit administratif et public statuant à trois juges (cf. art. 94 al. 4 LPA-VD; ATF 137 I 161 consid. 4.5), - que, compte tenu de l'issue du litige, le présent arrêt est rendu sans frais (cf. art. 49 al. 1 et 50 LPA-VD) ni allocation de dépens (cf. 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