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FI.2013.0109 vom 9. Juni 2015</w:t>
      </w:r>
    </w:p>
    <w:p>
      <w:r>
        <w:t>VD Tribunal cantonal, 2015-06-09, FR</w:t>
      </w:r>
    </w:p>
    <w:p>
      <w:r>
        <w:rPr>
          <w:b/>
        </w:rPr>
        <w:t xml:space="preserve">Quelle: </w:t>
      </w:r>
      <w:r>
        <w:t>https://mcp.opencaselaw.ch/entscheid/vd_omni_FI.2013.0109</w:t>
      </w:r>
    </w:p>
    <w:p>
      <w:r>
        <w:t>FR: VD_OMNI FI.2013.0109 du 9 juin 2015</w:t>
      </w:r>
    </w:p>
    <w:p>
      <w:r>
        <w:t>IT: VD_OMNI FI.2013.0109 del 9 giugno 2015</w:t>
      </w:r>
    </w:p>
    <w:p>
      <w:pPr>
        <w:pStyle w:val="Heading2"/>
      </w:pPr>
      <w:r>
        <w:t>Regeste</w:t>
      </w:r>
    </w:p>
    <w:p>
      <w:r>
        <w:t>A. X.________, B. X.________ Y.________ /Administration cantonale des impôts, Administration fédérale des contributions | Recours formé par un couple de contribuables contre la décision sur réclamation de l'ACI confirmant une précédente décision de rappel d'impôts en matière d'IFD pour les périodes fiscales 2001-2002 et 2003 ainsi que les amendes prononcées dans ce cadre (les intéressés ayant pour le reste été taxés par le canton de Genève en matière d'ICC). Il s'impose de constater que les recourants ne sont pas parvenus à établir que la marge bénéficiaire dégagée par l'époux dans le cadre de l'exercice d'une activité indépendante (non déclarée) était inférieure à celle admise par l'autorité intimée; en particulier, les déclarations de l'intéressé dans le cadre de la procédure pénale dont il a fait l'objet, auxquelles les recourants se réfèrent, manquent singulièrement de constance et de clarté, et les attestations de tiers produites à l'appui de leur recours n'apparaissent pas probantes - à tout le moins ne permettent-elles pas d'établir les charges invoquées. Pour le reste et compte tenu des circonstances, la qualification de la faute comme faute moyenne et la fixation de la quotité de l'amende à une fois le montant de l'impôt soustrait ne prêtent pas le flanc à la critique. Rejet du recours et confirmation de la décision sur réclamation attaquée. Recours au Tribunal fédéral irrecevable par arrêt du 31 mars 2016 (ATF 2C_273/2016).</w:t>
      </w:r>
    </w:p>
    <w:p>
      <w:pPr>
        <w:pStyle w:val="Heading2"/>
      </w:pPr>
      <w:r>
        <w:t>Erwägungen</w:t>
      </w:r>
    </w:p>
    <w:p>
      <w:r>
        <w:rPr>
          <w:b/>
        </w:rPr>
        <w:t>E. 1</w:t>
      </w:r>
    </w:p>
    <w:p>
      <w:r>
        <w:t>Interjeté en temps utile (cf. art. 140 al. 1 de la loi fédérale du 14 décembre 1990 sur l'impôt fédéral direct - LIFD; RS 642.11), le recours satisfait par ailleurs aux autres conditions formelles de recevabilité (cf. art. 140 al. 2 LIFD), de sorte qu'il y a lieu d'entrer en matière sur le fond.</w:t>
      </w:r>
    </w:p>
    <w:p>
      <w:r>
        <w:rPr>
          <w:b/>
        </w:rPr>
        <w:t>E. 2</w:t>
      </w:r>
    </w:p>
    <w:p>
      <w:r>
        <w:t>S'agissant en premier lieu de la question de la prescription - qu'il y a lieu d'examiner d'office, s'agissant d'une créance de droit public à l'égard d'un particulier (cf. ATF 106 Ib 357 consid. 3a; TF, arrêt 2P.296/2006 du 28 mars 2007 consid. 2; arrêt FI.2010.0078 du 9 février 2011 consid. 2a) -, les périodes fiscales concernées (2001-2002 et 2003) ont fait l'objet de taxations définitives, dont la modification est soumise aux dispositions sur le rappel d'impôts. Dans ce cadre,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(al. 1). En l'occurrence, la procédure a été initiée le 5 avril 2005, de sorte que le délai de dix ans prévu par cette disposition a été respecté. Quant à la prescription absolue du droit de taxer, il résulte de l'art. 152 al. 3 LIFD que le droit de procéder au rappel de l'impôt s'éteint 15 ans après la fin de la période fiscale à laquelle il se rapporte. Il s'impose de constater que la prescription absolue n'est pas davantage acquise dans le cas d'espèce - étant précisé à toutes fins utiles que, pour les périodes fiscales bisannuelles (cf. art. 40 al. 2 LIFD dans sa teneur applicable avant le 1 er janvier 2001), le délai commence à courir après la fin de la deuxième année concernée (cf. ATF 140 I 168 consid. 6.1 et les références), de sorte que le délai de 15 ans prévu par l'art. 152 al. 3 LIFD n'arrivera à échéance qu'à la fin de l'année 2017 pour la période fiscale 2001-2002. Il en va de même, mutatis mutandis , de la prescription de la poursuite pénale, qui n'est pas non plus acquise (cf. art. 184 al. 1 let. b et al. 2 LIFD).</w:t>
      </w:r>
    </w:p>
    <w:p>
      <w:r>
        <w:rPr>
          <w:b/>
        </w:rPr>
        <w:t>E. 3</w:t>
      </w:r>
    </w:p>
    <w:p>
      <w:r>
        <w:t>Cela étant, il convient de rappeler le cadre légal applicable aux reprises litigieuses. a) L'impôt sur le revenu a pour objet tous les revenus du contribuable, qu'ils soient uniques ou périodiques (art. 16 al. 1 LIFD). Sont en particulier imposables tous les revenus provenant de l'exploitation d'une entreprise commerciale, industrielle, artisanale, agricole ou sylvicole, de l'exercice d'une profession libérale ou de toute autre activité lucrative indépendante (art. 18 al. 1 LIFD); le revenu net se calcule en défalquant du total des revenus imposables les déductions générales et les frais mentionnés aux art. 26 à 33a LIFD (art. 25 LIFD; en lien avec une acticité lucrative indépendante, cf. art. 27 à 31 LIFD). Le contribuable doit remplir la formule de déclaration d'impôt de manière conforme à la vérité et complète; il doit la signer personnellement et la remettre à l'autorité compétente avec les annexes prescrites dans le délai qui lui est imparti (art. 124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Selon l'art. 126 LIFD, le contribuable doit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b) La procédure de taxation est régie par la maxime inquisitoriale (ATF 92 I 253 consid. 2); cette maxime est également applicable dans le cadre de la procédure de recours en matière fiscale (cf. art. 142 al. 4 LIFD; TF, arrêt 2P.215/2002 et 2A.479/2002 du 7 avril 2003 consid. 4.1). L'autorité doit vérifier le contenu de la déclaration (cf. art. 123 et 126 LIFD).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(ATF 133 II 153 consid. 4.3; 121 II 257 consid. 4c/aa). Quand des indices clairs et précis rendent vraisemblable l'état de fait établi par l'autorité, il revient ensuite au contribuable de réfuter, preuves à l'appui, les faits avancés par celle-ci; les parties ont en effet l'obligation de collaborer à l'établissement de la taxation (art. 126 al. 1 LIFD), et ce également dans le cadre de la procédure de rappel d’impôt (cf. art. 153 al. 3 LIFD; TF, arrêt 2C_239/2013 et 2C_240/2013 du 27 mai 2014 consid. 5.1).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L'autorité de recours apprécie les preuves apportées par les parties avec un large pouvoir d'appréciation (ATF 120 Ia 31 consid. 4b et les références; TF, arrêt 2P.185/2006 et 2A.429/2006 du 27 novembre 2006 consid. 8.1).</w:t>
      </w:r>
    </w:p>
    <w:p>
      <w:r>
        <w:rPr>
          <w:b/>
        </w:rPr>
        <w:t>E. 4</w:t>
      </w:r>
    </w:p>
    <w:p>
      <w:r>
        <w:t>En l'espèce, il convient de relever d'emblée que le seul fait que C.________ ait été "désavouée" (pour reprendre l'expression des recourants) dans le cadre des procédures pénales et civiles introduites à l'encontre d'A. X.________ n'a pas d'incidence directe sur le bien-fondé de la décision sur réclamation litigieuse; les arrêts et autres jugements rendus dans ce cadre ne remettent pas en cause, en particulier, le fait que l'entreprise individuelle D.________ a été fondée et était détenue par l'intéressé et que cette entreprise a loué des informaticiens à C.________ pour un montant total de 4'108'750 fr. pendant les années 1998 à 2001 - comme l'a expressément admis A. X.________ à l'occasion de l'audience du 18 septembre 2014. Sous l'angle fiscal, seul importe dès lors (et seule demeure litigieuse, sous réserve des amendes) la détermination du bénéfice imposable découlant de ce chiffre d'affaires brut, peu important pour le reste que l'intéressé ait été libéré du chef d'accusation de gestion déloyale au pénal et que C.________ ait échoué à établir la réalité de son dommage au civil (cf. let. C supra ). Cela étant, l'autorité intimée a retenu qu'A. X.________ n'avait pas apporté la preuve des charges liées à son activité indépendante, notamment de ses charges salariales - faute en particulier d'avoir tenu une comptabilité et d'avoir établi des quittances des rémunérations versées aux informaticiens mandatés par D.________ -, de sorte qu'elle serait fondée à imposer l'intégralité des revenus perçus de C.________. Relevant que l'intéressé avait indiqué à plusieurs reprises dans le cadre de la procédure pénale que D.________ dégageait une marge bénéficiaire oscillant entre 45 et 55 %, elle a toutefois admis de retenir en sa faveur ces allégations sans autre preuve et de prendre en compte la marge bénéficiaire la plus faible, soit celle de 45 % (cf. let F supra ). Les recourants soutiennent pour leur part que, s'agissant d'un système de facturation, A. X.________ ne prélevait que 100 fr. par jour et par informaticien sur les sommes transitant par D.________, ce qui correspond à un gain annuel de l'ordre de 100'000 à 150'000 fr. (soit un montant total de 450'000 fr. au maximum sur trois ans). A l'appui de leurs allégations, ils se prévalent en particulier des déclarations de l'intéressé des 28 et 29 mars 2001 dans le cadre de cette même procédure pénale ainsi que des attestations de tiers produites à l'appui de leur écriture du 5 février 2015. a) Il convient de relever d'emblée que les déclarations d'A. X.________ dans le cadre de la procédure pénale ne sauraient en tant que telles suffire à apporter la preuve de la marge bénéficiaire de l'intéressé durant les périodes concernées. Si c'est en se fondant sur les allégations de l'intéressé dans ce cadre que l'autorité intimée a admis de prendre en compte, sans autre preuve, une marge bénéficiaire de 45 %, le seul fait qu'il ait également évoqué à plusieurs reprises n'avoir prélevé que 100 fr. par informaticien et par jour, respectivement avoir réalisé de ce chef un gain annuel de l'ordre de 100'000 à 150'000 fr., ne saurait suffire à remettre en cause l'appréciation de l'autorité intimée. A cet égard, le grief des recourants selon lequel la marge bénéficiaire retenue de 45 % l'aurait été "sans preuve aucune" ne résiste manifestement pas à l'examen - bien plutôt, il appartient aux intéressés d'apporter la preuve des faits de nature à éteindre ou diminuer leur dette fiscale et à supporter les conséquences de l'échec de cette preuve (cf. consid. 3b supra; cf. ég. arrêt FI.2008.0044 du 17 septembre 2009 consid. 4c et les références). Au surplus, il s'impose de constater que les déclarations d'A. X.________ dans le cadre de la procédure pénale en cause apparaissent d'autant moins déterminantes qu'elles manquent singulièrement de constance et de clarté. Ainsi les recourants ont-ils notamment produit à l'appui de leurs allégations le procès-verbal d'audience du 29 mars 2001, surlignant le passage où l'intéressé "maintien[t], comme [il] l'[a] déclaré à la police, qu'[il] ne touchait[t] que CHF 100.- par jour et par personne" (p. 4). Or, à la lecture des lignes qui suivent directement la phrase en cause, il apparaît qu'il a expressément admis que ce montant pouvait être plus important dans certains cas ("lors d'assemblées générales par exemple, lorsqu'il s'agissait d'un projet à forfait") et pouvait atteindre 30 % de la facture, mentionnant un projet pour lequel il aurait touché "CHF 200'000.- à CHF 300'000.-". Dans le cadre du procès-verbal d'audience du 2 avril 2001, A. X.________ est au demeurant revenu sur ses déclarations et a indiqué que sa marge bénéficiaire sur les prestations fournies par D.________ s'élevait de "40 à 45 % des montants facturés". A cela s'ajoute encore que les pièces produites sur injonction de l'autorité prud'homale genevoise (cf. let. C supra ) - "selon toute vraisemblance de[s] pièces relatives à des opérations sur le compte postal de cette entreprise [D.________] durant les années 1998 à 2000", selon les déclarations d'A. X.________ à l'occasion de l'audience du 18 septembre 2014 - ont (semble-t-il) permis d'établir que l'intéressé avait versé, entre 1997 et 2000, un montant total de fr. 1'824'983.- aux consultants mandatés par D.________, ce qui correspond à environ 45 % du chiffres d'affaires de 4'108'750 fr. ; pour le reste, il s'impose de constater qu'aucune pièce au dossier ne permet d'établir formellement l'existence des prétendus versements en espèces évoqués par l'intéressé - lequel a au demeurant indiqué, dans sa "déclaration" initiale du 28 mars 2001 dans le cadre de la procédure pénale, que le paiement des prestations de D.________ par C.________ était effectué sur son compte personnel et que l'argent était ensuite "dispatché sur d'autres comptes bancaires ou postaux pour payer les informaticiens" (p. 2), respectivement qu'il payait ces derniers "directement via leur compte postal ou bancaire" (p. 5), sans aucune mention de versements en espèces (dont il n'a fait état qu'ultérieurement). b) Quant aux attestations de tiers produites par les recourants à l'appui de leur écriture du 5 février 2015, elles émanent de trois personnes déclarant avoir travaillé pour C.________ et avoir "utilisé D.________ informatique pour facturer" les prestations concernées. Il en résulte en substance ce qui suit: - dans une attestation du 28 janvier 2015, le dénommé F.________ expose qu'il s'occupait lui-même de sa facturation, qu'il n'a jamais eu aucun prélèvement sur ses honoraires de la part d'A. X.________ ni fait de rétrocessions sur ses heures facturées et qu'il n'avait pas de contrat avec D.________; - dans une attestation du 29 janvier 2015, le dénommé G.________ évoque pour sa part une rétrocession à l'intéressé d'un montant de 100 fr. par jour facturé, étant précisé qu'il a toujours reçu ses honoraires de la part de D.________ mais n'a jamais eu de contrat ou de document qui le liait à cette société; - dans une attestation du 30 janvier 2015 enfin, le dénommé H.________ indique que son tarif journalier était de 1'200 fr. et qu'il versait un montant de 100 fr. à D.________ par jour facturé, précisant qu'il rédigeait lui-même ses factures et les soumettait à son manager C.________ pour validation et paiement. Il s'impose de constater que ces attestations ne sont pas de nature à établir que la marge bénéficiaire d'A. X.________ était inférieure à celle de 45 % admise par l'autorité intimée. En premier lieu, on ne saurait exclure que les attestations en cause n'aient été établies pour les besoins de la cause, étant précisé qu'elles ne sont corroborées par aucune pièce probante. On relèvera en particulier que les déclarations de H.________ sont en contradiction flagrante avec la teneur du procès-verbal d'audience du 29 mars 2001 déjà mentionné, dans le cadre duquel A. X.________ a indiqué ce qui suit s'agissant de l'activité déployée par l'intéressé: "C'est moi qui signais les contrats pour la C.________. C'est également moi qui signais les contrats pour D.________ INFORMATIQUE. Vous me faites remarquer que les contrats de D.________ INFORMATIQUE versés à la procédure sont signés pour D.________ INFORMATIQUE par un dénommé H.________. Je vous explique que je me suis mal exprimé. Je ne signais que pour C.________. Vous me demandez si D.________ INFORMATIQUE avait un collaborateur nommé H.________. Je vous réponds que c'était un intérimaire. C'est lui qui rencontrait les chefs de projets à la C.________. Vous me demandez qui est M. I.________. Je vous réponds que [c] 'est un cuisiniste. J'entends par là qu'il vend des cuisines pour […] . M. I.________ a des connaissances commerciales en général. M. I.________ devait travailler deux heures par semaine pour D.________ INFORMATIQUE. Il était rémunéré en fonction des mandats qu'il amenait. J'entends par là des mandats en général qu'il aurait pu amener en dehors de la C.________. Il a touché environ CHF 5'000.-- par mois pour deux heures par semaine. M. I.________ est un ami depuis une dizaine d'années. Il fait ce travail pour moi depuis environ un an. Il était payé par bulletin postal. Vous trouverez dans mon compte de chèques postal les virements effectués à l'intention de M. I.________." On relèvera au demeurant que le caractère vraisemblable de cette version des faits apparaît renforcé par le fait qu'A. X.________ se réfère expressément aux virements dans son compte de chèques postaux en attestant - c'est dire que l'attestation établie le 30 janvier 2015 par H.________ est pour le moins sujette à caution. S'agissant par ailleurs de l'attestation établie par F.________, on peut s'étonner que l'intéressé affirme n'avoir jamais versé aucun montant à A. X.________ (sous forme de prélèvement ou de rétrocession), alors qu'il aurait utilisé D.________ pour facturer ses prestations "durant plus de 3 ans" - en contradiction avec ce qu'affirment les recourants, qui évoquent, comme on l'a déjà vu, un montant de 100 fr. par informaticien et par jour. Quant à G.________, il apparaît qu'il pourrait n'avoir collaboré que de manière ponctuelle voire très ponctuelle avec D.________ - contrairement aux deux autres, l'intéressé ne précise pas la durée d'une telle collaboration, et A. X.________ semble n'en avoir eu qu'un souvenir imprécis lors de l'audience du 19 mars 2001 (s'agissant des cinq personnes ayant travaillé pour D.________ qu'il mentionne spontanément à cette occasion, c'est la seule pour laquelle il précise "je crois"; cf. p. 3). A cela s'ajoute au demeurant que même à admettre, par hypothèse et nonobstant ce qui précède, le caractère probant de ces attestations, il s'impose de constater qu'elles ne permettent pas d'établir les montants qui ont été versés par D.________ (respectivement par A. X.________) aux intéressés durant les années concernées - faute en particulier de connaître les nombres de jours respectifs travaillés par les intéressés durant les années en cause. On ne saurait au demeurant exclure, en pareille hypothèse, que les autres personnes ayant alors exercé une activité pour D.________ (qui auraient été au nombre de six à tout le moins, dont deux personnes habitant en Roumanie, si l'on en croit le procès-verbal d'audience du 29 mars 2001) n'aient pas bénéficié des mêmes conditions de rétribution. C'est le lieu de rappeler une fois encore qu'il aurait appartenu aux recourants d'apporter la preuve des faits de nature à éteindre ou à diminuer leur dette fiscale (cf. à cet égard TF, arrêt 2C_651/2012 du 28 septembre 2012 consid. 4.1, rappelant, dans le cas d'un administré qui soutenait que les charges salariales effectives auraient dû être déduites même si les pièces comptables en attestant avaient disparu, que la taxation d'office prévue par l'art. 130 al. 2 LIFD "n'est pas là pour suppléer aux règles sur le fardeau de la preuve et pour permettre au contribuable, à qui il incombe de prouver les faits de nature à éteindre ou diminuer sa dette fiscale […], d'échapper aux conséquences de l'échec de cette preuve en obtenant une déduction portant sur des éléments qu'il aurait pu et dû démontrer à temps"); pour le même motif, il apparaît manifestement que les seules allégations des recourants en lien avec le système de rétribution habituelle dans le cadre d'un système de facturation (et non de portage à proprement parler) ne sauraient suffire à établir la marge bénéficiaire d'A. X.________ à prendre en considération dans le cas d'espèce - une telle marge devant être établie en fonction des charges dont il est prouvé qu'elles ont effectivement été supportées par l'intéressé, et non en fonction de charges qui pourraient théoriquement se justifier. c) Dans ces conditions, il s'impose de constater que les recourants ne sont pas parvenus à réfuter, preuves à l'appui, l'état de fait pris en considération par l'autorité intimée pour procéder à la reprise en cause, singulièrement qu'ils n'ont pas apporté la preuve que la marge bénéficiaire d'A. X.________ durant la période concernée était inférieure à celle retenue dans la décision sur réclamation attaquée. Les intéressés doivent supporter les conséquences de l'échec de cette preuve, de sorte que bien-fondé de la reprise en cause doit être confirmé.</w:t>
      </w:r>
    </w:p>
    <w:p>
      <w:r>
        <w:rPr>
          <w:b/>
        </w:rPr>
        <w:t>E. 5</w:t>
      </w:r>
    </w:p>
    <w:p>
      <w:r>
        <w:t>S'agissant pour le reste de la reprise relative aux "intérêts et dividendes non déclarés" (reprise 1.03 dans la décision sur réclamation en partie reproduite sous let. F supra ), il apparaît que les recourants n'ont pas avancés de grief sur ce point - ni sur le principe sur la quotité des montants en cause. Cette reprise doit dès lors également être confirmée, en tant qu'il s'agit d'intérêts d'avoirs au sens de l'art. 20 al. 1 let. a LIFD.</w:t>
      </w:r>
    </w:p>
    <w:p>
      <w:r>
        <w:rPr>
          <w:b/>
        </w:rPr>
        <w:t>E. 6</w:t>
      </w:r>
    </w:p>
    <w:p>
      <w:r>
        <w:t>L'ensemble des reprises auxquelles a procédé l'autorité intimée doivent ainsi être confirmées. Cela étant, les recourants contestent les amendes prononcées à leur encontre pour soustraction fiscale. a)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(cf. art. 175 al. 1 LIFD). La réalisation des éléments objectifs de la soustraction fiscale suppose d’une part que les montants non déclarés constituent des éléments imposables, et d’autre part que ces montants soient entrés dans la sphère de disposition du contribuable (cf. TF, arrêt 2C_620/2012 du 14 février 2013 consid. 3.4). Quant à la condition subjective d'une telle soustraction, elle est réalisée lorsque le contribuable a agi de manière fautive, soit intentionnellement soit par négligence. Selon la jurisprudence, la preuve d'un comportement intentionnel doit être considérée comme apportée dans ce cadre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arrêt 2C_1221/2013 et 2C_1222/2013 précité, consid. 3.2 et les références; TF, arrêt 2C_898/2011 du 28 mars 2012 consid. 2.2). La soustraction par négligence (au sens de l'art. 12 al. 3 CP) est réalisée lorsque, par une imprévoyance coupable, le contribuable agit sans se rendre compte ou sans tenir compte des conséquences de son acte - étant précisé que, selon la jurisprudence, il faut poser des exigences sévères quant à la prévoyance requise: si un contribuable a des doutes sur ses droits et obligations, il doit faire en sorte de les lever ou, du moins, en informer l'autorité fiscale (TF, arrêt 2C_664/2008 du 4 février 2009 consid. 4.3). b) En règle générale, l’amende est fixée au montant de l’impôt soustrait; si la faute est légère, elle peut être réduite jusqu’au tiers de ce montant; si elle est grave elle peut être au plus triplée (art. 175 al. 2 LIFD).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(cf. ATF 114 Ib 27 consid. 4a p. 30/31; arrêt FI.2013.0077, FI.2013.0078 du 4 septembre 2014 consid. 9c et les références). La peine "ordinaire" - qui correspond au montant de l'impôt soustrait - est généralement prononcée lorsque l’acte punissable a été commis intentionnellement, en l’absence de circonstances aggravantes ou de circonstances atténuantes . Par faute grave, il faut comprendre entre autres la récidive de même que l’attitude continuellement récalcitrante du contribuable vis-à-vis des autorités fiscales; il y a également circonstance aggravante, en particulier,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(correspondant à l'ancien art. 64); à cet égard, l’attitude coopérative du contribuable lors de l’établissement des faits doit être appréciée sous l’angle d’une atténuation de la faute (cf. arrêt FI.2013.0077, FI.2013.0078 précité, consid. 9c; CR LIFD-Sansonetti, art. 175 LIFD N 47 et 54). c) En l'espèce, il apparaît manifestement que les recourants ont été taxés sur des montants trop bas et qu'ils ont violé leur obligation de déclarer la totalité de leur revenu durant les périodes fiscales concernées. Il apparaît tout aussi manifestement que cette soustraction est intentionnelle; à l'évidence en effet et quoi qu'en disent les intéressés, les procédure pénales et civiles intentées par C.________ ne changent rien au fait qu'ils ne pouvaient pas ne pas savoir que les revenus provenant de l'exploitation de D.________ étaient imposables - au surplus, il résulte du procès-verbal d'audience du 29 mars 2001 déjà mentionné qu'interpellé sur ce point, A. X.________ a indiqué qu'il n'avait "pas encore" déclaré ces revenus aux impôts (mentionnant le système des périodes fiscales bisannuelles alors en vigueur dans le canton de Vaud). Pour le reste, le tribunal relève que les amendes litigieuses s'inscrivent dans le cadre légal, qu'elles ne sont pas fondées sur des critères étrangers à l'art. 47 CP et que l'autorité intimée a clairement exposé les éléments tant à charge qu'à décharge des recourants (cf. la décision sur réclamation attaquée, en partie reproduite sous let. F supra ); compte tenu de ces différents éléments, la qualification de la faute comme faute moyenne et la fixation de la quotité de l'amende à une fois le montant de l'impôt soustrait apparaissent tout à fait justifiés. Les circonstances du cas dont les recourants se prévalent, en lien notamment avec le fait que la procédure a été initiée par la dénonciation de C.________, sont sans incidence sur la gravité de la faute qu'ils ont eux-mêmes commise en ne déclarant pas la totalité de leurs revenus; le tribunal ne voit pas pour le reste en quoi la situation de fait déterminante dans le cadre de la présente procédure devrait être qualifiée de particulièrement complexe, quoi qu'en disent les intéressés.</w:t>
      </w:r>
    </w:p>
    <w:p>
      <w:r>
        <w:rPr>
          <w:b/>
        </w:rPr>
        <w:t>E. 7</w:t>
      </w:r>
    </w:p>
    <w:p>
      <w:r>
        <w:t>Il résulte des considérants qui précèdent que le recours doit être rejeté et la décision sur réclamation attaquée confirmée. Compte tenu de l'issue du litige, un émolument de 10'000 fr. est mis à la charge des recourants (art. 49 al. 1 LPA-VD), solidairement entre eux (art. 51 al. 2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