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FI.2013.0096 vom 20. Mai 2014</w:t>
      </w:r>
    </w:p>
    <w:p>
      <w:r>
        <w:t>VD Tribunal cantonal, 2014-05-20, FR</w:t>
      </w:r>
    </w:p>
    <w:p>
      <w:r>
        <w:rPr>
          <w:b/>
        </w:rPr>
        <w:t xml:space="preserve">Quelle: </w:t>
      </w:r>
      <w:r>
        <w:t>https://mcp.opencaselaw.ch/entscheid/vd_omni_FI.2013.0096</w:t>
      </w:r>
    </w:p>
    <w:p>
      <w:r>
        <w:t>FR: VD_OMNI FI.2013.0096 du 20 mai 2014</w:t>
      </w:r>
    </w:p>
    <w:p>
      <w:r>
        <w:t>IT: VD_OMNI FI.2013.0096 del 20 maggio 2014</w:t>
      </w:r>
    </w:p>
    <w:p>
      <w:pPr>
        <w:pStyle w:val="Heading2"/>
      </w:pPr>
      <w:r>
        <w:t>Regeste</w:t>
      </w:r>
    </w:p>
    <w:p>
      <w:r>
        <w:t>X.________ SA/Administration cantonale des impôts, Administration fédérale des contributions | Vente d'un terrain constructible par une société à son actionnaire à un prix inférieur à la valeur du marché. Les conditions d'une distribution dissimulée de bénéfice sont réunies, puisque la recourante a effectué une libéralité en faveur de son actionnaire, à hauteur de la réserve latente résultant de la différence entre le prix du marché et la valeur comptable de l'immeuble transféré. Confirmation de la reprise, dans les comptes de la société, de la différence entre le prix de vente et l'assiette du droit de mutation prélevé chez l'actionnaire (suite des arrêts FI.2008.0127 du 31 août 2010 et ATF 2C_753/2010 du 23 mars 2011). Recours admis et arrêt annulé pour violation du droit d'être entendu par ATF 2C_594/2014 &amp; 2C_597/2014 du 15 janvier 2015).</w:t>
      </w:r>
    </w:p>
    <w:p>
      <w:pPr>
        <w:pStyle w:val="Heading2"/>
      </w:pPr>
      <w:r>
        <w:t>Erwägungen</w:t>
      </w:r>
    </w:p>
    <w:p>
      <w:r>
        <w:rPr>
          <w:b/>
        </w:rPr>
        <w:t>E. 1</w:t>
      </w:r>
    </w:p>
    <w:p>
      <w:r>
        <w:t>A titre de mesure d’instruction, la recourante a requis le retrait de tous les documents versés au dossier dans le cadre de la taxation du droit de mutation dû par C. X.________. Le Tribunal se référera simplement, tant en fait qu’en droit, à l’arrêt FI.2008.0127 du 31 août 2010 et à l’ATF 2C_753/2010 du 23 mars 2011, publiés au surplus sur son site Internet, sans qu’il n’en résulte une atteinte au secret fiscal de C. X.________.</w:t>
      </w:r>
    </w:p>
    <w:p>
      <w:r>
        <w:rPr>
          <w:b/>
        </w:rPr>
        <w:t>E. 2</w:t>
      </w:r>
    </w:p>
    <w:p>
      <w:r>
        <w:t>Le litige a trait en l’espèce à la reprise opérée par l’autorité intimée dans les comptes de la recourante, afin de déterminer le bénéfice imposable durant la période de taxation 2008. Il a trait aussi bien à l’impôt cantonal et communal sur le revenu et la fortune qu’à l’impôt fédéral direct. S’agissant de l’impôt cantonal et communal, la loi sur les impôts directs cantonaux, du 4 juillet 2000 (LI; RSV 642.11) a abrogé la loi homonyme, du 26 novembre 1956 (aLI), dès son entrée en vigueur le 1 er janvier 2001 (art. 278 et 279 LI). Elle est donc applicable à la période ici en cause. S’agissant de l’impôt fédéral direct, la loi fédérale y relative, du 14 décembre 1990 (LIFD; RS 642.11) a abrogé l’arrêté du Conseil fédéral concernant la perception d’un impôt fédéral direct, du 9 décembre 1940 – AIFD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3</w:t>
      </w:r>
    </w:p>
    <w:p>
      <w:r>
        <w:t>a) L’impôt sur le bénéfice frappe l’augmentation des fonds propres constatée durant la période fiscale (Robert Danon, in: Commentaire romand, Impôt fédéral direct, Danielle Yersin/Yves Noël [ éds ] , Bâle 2008,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w:t>
      </w:r>
    </w:p>
    <w:p>
      <w:r>
        <w:rPr>
          <w:b/>
        </w:rPr>
        <w:t>E. 5</w:t>
      </w:r>
    </w:p>
    <w:p>
      <w:r>
        <w:t>Les considérants qui précèdent conduisent au rejet du recours et à la confirmation de la décision attaquée. Un émolument judiciaire sera mis à la charge de la recourante, qui succombe (art. 49 et 91 LPA-VD). Vu le sort du recours,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