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FI.2013.0044 vom 6. März 2014</w:t>
      </w:r>
    </w:p>
    <w:p>
      <w:r>
        <w:t>VD Tribunal cantonal, 2014-03-06, FR</w:t>
      </w:r>
    </w:p>
    <w:p>
      <w:r>
        <w:rPr>
          <w:b/>
        </w:rPr>
        <w:t xml:space="preserve">Quelle: </w:t>
      </w:r>
      <w:r>
        <w:t>https://mcp.opencaselaw.ch/entscheid/vd_omni_FI.2013.0044</w:t>
      </w:r>
    </w:p>
    <w:p>
      <w:r>
        <w:t>FR: VD_OMNI FI.2013.0044 du 6 mars 2014</w:t>
      </w:r>
    </w:p>
    <w:p>
      <w:r>
        <w:t>IT: VD_OMNI FI.2013.0044 del 6 marzo 2014</w:t>
      </w:r>
    </w:p>
    <w:p>
      <w:pPr>
        <w:pStyle w:val="Heading2"/>
      </w:pPr>
      <w:r>
        <w:t>Regeste</w:t>
      </w:r>
    </w:p>
    <w:p>
      <w:r>
        <w:t>A. X.________-Y.________/Administration cantonale des impôts, Administration fédérale des contributions | Amendes pour soustraction fiscale (suite de la cause FI.2012.0086). Même s'il existe une certaine communauté économique entre l'actionnaire unique et la société, on ne peut pas parler de confusion de personnes, sur le plan fiscal comme sur le plan civil. Dès lors, les procédures ouvertes à la fois contre l'actionnaire et la société le sont contre des personnes différentes. Les amendes infligées à l'actionnaire ne violent ainsi pas le principe ne bis in idem. Elle ne sont par ailleurs pas excessives, compte tenu de l'ampleur des montants soustraits, de la durée de l'activité incriminée, ainsi que de la présence d'un antécédent en matière fiscal. Recours rejeté.</w:t>
      </w:r>
    </w:p>
    <w:p>
      <w:pPr>
        <w:pStyle w:val="Heading2"/>
      </w:pPr>
      <w:r>
        <w:t>Erwägungen</w:t>
      </w:r>
    </w:p>
    <w:p>
      <w:r>
        <w:rPr>
          <w:b/>
        </w:rPr>
        <w:t>E. 1</w:t>
      </w:r>
    </w:p>
    <w:p>
      <w:r>
        <w:t>Le présent arrêt complète celui rendu le 16 mai 2013 sur les points laissés en suspens, à savoir les amendes infligées au recourant pour soustraction fiscale et tentative de soustraction fiscale pour les périodes fiscales 1999-2000, 2001-2002 et 2001-2002bis.</w:t>
      </w:r>
    </w:p>
    <w:p>
      <w:r>
        <w:rPr>
          <w:b/>
        </w:rPr>
        <w:t>E. 2</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condition objective de la soustraction fiscale suppose, d’une part, que les montants non déclarés constituent des éléments imposables, d’autre part, que ces montants soient entrés dans la sphère de disposition du contribuable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(RDAF 2010 II p. 593). Cette preuve est apportée lorsqu'il est établi avec une sécurité suffisante que le contribuable était conscient du caractère inexact ou incomplet de sa déclaration. Si cette conscience est établie, on peut alors présumer l'intention, ou du moins le dol éventuel (RDAF 2010 II p. 597).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w:t>
      </w:r>
    </w:p>
    <w:p>
      <w:r>
        <w:rPr>
          <w:b/>
        </w:rPr>
        <w:t>E. 6</w:t>
      </w:r>
    </w:p>
    <w:p>
      <w:r>
        <w:t>et les références citées). b) Le recourant ne conteste à juste titre pas que les éléments objectif et subjectif de la soustraction, respectivement de la tentative de soustraction, sont réalisés. Il se plaint en revanche d'une violation du principe ne bis in idem . Il estime que son comportement fautif a en effet déjà été sanctionné par les amendes infligées à la société C.________ par les autorités fiscales genevoises. aa) Le principe ne bis in idem est un corollaire de l'autorité de chose jugée. Il appartient, selon la jurisprudence constante, au droit pénal fédéral. Il est ancré dans la Constitution fédérale (art. 8 al. 1 Cst.; cf. Michel Hottelier, in: Commentaire romand, Code de procédure pénale suisse, n. 1 ad art. 11 CPP) ainsi qu'à l'art. 14 al. 7 du Pacte international du 16 décembre 1966 relatif aux droits civils et politiques (RS 0.103.2) et à l'art. 4 al. 1 du Protocole n° 7 à la Convention de sauvegarde des droits de l'homme et des libertés fondamentales (RS 0.101.07). D'après ces dispositions, dont la teneur est pratiquement la même, nul ne peut être poursuivi ou puni pénalement par les juridictions du même État en raison d'une infraction pour laquelle il a déjà été acquitté ou condamné par un jugement définitif conformément à la loi et à la procédure pénale de cet État. Le principe ne bis in idem suppose qu'il y ait identité des faits, de l'objet de la procédure et de la personne visée (cf. ATF 125 II 402 consid. 1b p. 404; 120 IV 10 consid. 2b p. 12 s.; 119 Ib 311 consid. 3a p. 318; 118 IV 269 consid. 2 p. 271). bb) Les amendes litigieuses visent en l'occurrence le recourant en sa qualité de personne physique. Celles prononcées par les autorités fiscales genevoises sont pour leur part dirigées contre la société C.________. Selon la jurisprudence, même s'il existe une certaine communauté économique entre l'actionnaire unique et la société, on ne peut pas parler de confusion de leurs personnes, sur le plan fiscal comme sur le plan civil (arrêt du Tribunal fédéral du 4 avril 1995, in RDAF 1996 p. 172, consid. 6b). Dès lors, les procédures ouvertes à la fois contre l'actionnaire et la société le sont contre des personnes différentes. Les amendes infligées au recourant ne violent ainsi pas le principe ne bis in idem (arrêt du Tribunal fédéral du 4 avril 1995, in RDAF 1996 p. 172, consid. 6b). Que la faute de la société s'apprécie selon la jurisprudence au regard du comportement de ses organes (ATF 135 II 86 consid. 4.2) n'y change rien. Le principe d'une sanction étant justifié, il reste encore à examiner la quotité des amendes prononcées. 3. a)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L’attitude coopérative du contribuable lors de l’établissement des faits doit être appréciée sous l’angle d’une atténuation de la faute (cf. Agner/Digeronimo/Neuhaus/Steinmann, Commentaire de la loi sur l'impôt fédéral direct, Complément, Zurich 2001, p. 374 ch. 2.4). b) En l'espèce, le recourant estime que les amendes infligées sont excessives. Il reproche en particulier à l'ACI de n'avoir pas tenu suffisamment compte des sanctions prononcées à l'encontre de la société C.________. Selon lui, les amendes devraient être réduites de 50%. L'ACI a qualifié la faute du recourant de moyenne tant sous l'angle de l'impôt cantonal et communal que de l'impôt fédéral direct. Elle a appliqué un coefficient de 1 pour la soustraction consommée relative aux périodes fiscales 1999-2000 et 2001-2002 et de 2/3 pour la soustraction tentée portant sur la période fiscale 2001-2002bis. L'ACI a tenu compte des sanctions infligées à la société C.________ comme circonstance atténuante. Elle a estimé que cet élément était toutefois contrebalancé par trois circonstances aggravantes, à savoir la présence d'un antécédent en matière fiscal (période fiscale 1997-1998), le montant des éléments soustraits (1'803'700 fr. de revenu ICC, 2'570'409 fr. de revenu IFD et 1'703'937 fr. de fortune) et la durée de l'activité incriminée (quatre ans en matière d'ICC et six ans en matière d'IFD). Cette appréciation ne prête pas le flanc à la critique, les trois circonstances rappelées ci-dessus devant à l'évidence être qualifiées d'aggravantes et contrebalançant clairement les sanctions déjà infligées à la société. Les montants des amendes seront par conséquent confirmés. 4. Les considérants qui précèdent conduisent au rejet du recours à la confirmation de la décision attaquée. Le recourant (seul concerné par le volet pénal de l'affaire), qui succombe, supportera les frais de justice (art. 49 al. 1 de la loi vaudoise du 28 octobre 2008 sur la procédure administrative – LPA-VD; RSV 173.36).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