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FI.2013.0043 vom 29. April 2015</w:t>
      </w:r>
    </w:p>
    <w:p>
      <w:r>
        <w:t>VD Tribunal cantonal, 2015-04-29, FR</w:t>
      </w:r>
    </w:p>
    <w:p>
      <w:r>
        <w:rPr>
          <w:b/>
        </w:rPr>
        <w:t xml:space="preserve">Quelle: </w:t>
      </w:r>
      <w:r>
        <w:t>https://mcp.opencaselaw.ch/entscheid/vd_omni_FI.2013.0043</w:t>
      </w:r>
    </w:p>
    <w:p>
      <w:r>
        <w:t>FR: VD_OMNI FI.2013.0043 du 29 avril 2015</w:t>
      </w:r>
    </w:p>
    <w:p>
      <w:r>
        <w:t>IT: VD_OMNI FI.2013.0043 del 29 aprile 2015</w:t>
      </w:r>
    </w:p>
    <w:p>
      <w:pPr>
        <w:pStyle w:val="Heading2"/>
      </w:pPr>
      <w:r>
        <w:t>Regeste</w:t>
      </w:r>
    </w:p>
    <w:p>
      <w:r>
        <w:t>A. X.________/Administration cantonale des impôts, Administration fédérale des contributions | Recours contre une décision sur réclamation confirmant une décision de rappel d'impôts, taxation définitive et prononcé d'amendes. Annulation du rappel d'impôt en matière d'IFD pour les périodes 1997, 1998 et 1999 compte tenu de la prescription absolue. Pour le reste, le recourant n'apporte aucun élément probant à l'appui de ses allégations - selon lesquelles, en particulier, il aurait été taxé dans un pays tiers. La qualification de la faute (moyenne pour l'intéressé, respectivement légère pour son épouse) et la fixation de la quotité de l'amende ne prêtent pas davantage le flanc à la critique. Admission partielle du recours et réforme de la décision sur réclamation attaquée en ce sens que le rappel d'impôt pour les périodes 1997, 1998 et 1999 est supprimé, la décision concernée étant confirmée pour le surplus.</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 Il y a lieu de considérer que le recourant agit tant en son nom propre que pour le compte de son épouse.</w:t>
      </w:r>
    </w:p>
    <w:p>
      <w:r>
        <w:rPr>
          <w:b/>
        </w:rPr>
        <w:t>E. 2</w:t>
      </w:r>
    </w:p>
    <w:p>
      <w:r>
        <w:t>Le litige a trait aussi bien à l’impôt cantonal et communal sur le revenu et la fortune qu’à l’impôt fédéral direct, pour la période 1997 à 2006 s’agissant de ce dernier. S’agissant de l’impôt cantonal et communal, la loi sur les impôts directs cantonaux, du 4 juillet 2000 (LI; RSV 642.11) a abrogé la loi homonyme, du 26 novembre 1956 (aLI), dès son entrée en vigueur le 1 er janvier 2001 (art. 278 et 279 LI). Elle est donc applicable aux périodes 2001 à 2006.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w:t>
      </w:r>
    </w:p>
    <w:p>
      <w:r>
        <w:rPr>
          <w:b/>
        </w:rPr>
        <w:t>E. 3</w:t>
      </w:r>
    </w:p>
    <w:p>
      <w:r>
        <w:t>Préalablement à l'examen du fond du litige, il convient d'examiner la question de la prescription, quand bien même aucune des parties n'aurait soulevé cette exception, ce moyen devant être examiné d'office, lorsque l'Etat est le créancier dans le litige en cause (Commentaire romand de la LIFD [CR], Masmejan, n. 22 ad art. 120, p. 1185). En l'espèce, deux prescriptions entrent en ligne de cause: la prescription du droit de taxer (3.1) et la prescription de la poursuite pénale (3.2). a) En matière d'impôt fédéral direct, l'art. 120 LIFD dispose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L'art. 120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En l'espèce, les périodes fiscales 1997-1998 à 2005 y compris ont fait l'objet d'une taxation définitive, de sorte que, pour les modifier, ce sont les dispositions sur le rappel d'impôts qui sont applicables. Dès lors que l'ACI a introduit une procédure de rappel d'impôt en notifiant à la recourante un avis d'ouverture d'une procédure pour soustraction fiscale le 5 décembre 2008, la prescription de dix ans de l'art. 152 LIFD n'était pas acquise pour la plus ancienne période fiscale en cause, soit 1997-1998. Elle ne l'est ainsi également pas pour les autres périodes litigieuses. S'agissant en revanche de la prescription absolue du droit de taxer, il s'impose de constater que le délai de 15 ans prévu par l'art. 152 al. 3 LIFD est arrivé à échéance à la fin de l'année 2014 pour la période 1997-1998-1999, soit au cours de la présente procédure; il convient dès lors de réformer la décision sur réclamation attaquée sur ce point, en ce sens que le rappel d'impôt pour les périodes 1997-1998-1999 est annulé. 3.1.2) En matière d'impôts cantonal et communal, l’art. 170 al. 1 LI prévoit que le droit de procéder à la taxation se prescrit par cinq ans à compter de la fin de la période fiscale, les art. 208 (cas du rappel d'impôt) et 254 (prescription de la poursuite pénale) LI étant réservés. En l'occurrence, en ce qui concerne l'impôt cantonal et communal, pour la période fiscale 2001, soit la plus ancienne, tant le délai de prescription relatif que celui absolu ont été respectés au regard de l'art. 170 al. 1 LI. 3.2.1) En matière d'impôt fédéral direct l’art. 184 LIFD prévoit ce qui suit: "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 2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 En l'espèce et comme on l'a vu ci-dessus, le rappel d'impôt pour la période 1997-1998 est annulé compte tenu du fait que la prescription absolue du droit de taxer a été atteinte en cours de procédure ; or, aucune amende n’a été infligée pour cette période. 3.2.2) En ce qui concerne l'impôt cantonal et communal, la LI règle la question de la prescription de la procédure pénale à son art. 254, dont la teneur est calquée sur le modèle de l'art. 184 LIFD. En l'espèce, comme déjà mentionné ci-dessus en relation avec la prescription du droit de taxer, la période fiscale 2000 n'est pas prescrite, que ce soit de manière relative ou absolue, la prescription absolue étant atteinte fin 2015.</w:t>
      </w:r>
    </w:p>
    <w:p>
      <w:r>
        <w:rPr>
          <w:b/>
        </w:rPr>
        <w:t>E. 4</w:t>
      </w:r>
    </w:p>
    <w:p>
      <w:r>
        <w:t>Avant d’aborder les questions d’ordre matériel soulevées par le recours, il importe de rappeler quelques principes procéduraux de la taxation en impôt direct. 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Revue fiscale 2009 p. 834; cf. en outre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3 ème éd., Bâle/Genève/Munich 2007, § 22/n° 9, pp. 442-443).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TA, arrêts FI.2005.0003 du 21 juin 2005; FI.1991.0036, du 6 octobre 1993).</w:t>
      </w:r>
    </w:p>
    <w:p>
      <w:r>
        <w:rPr>
          <w:b/>
        </w:rPr>
        <w:t>E. 5</w:t>
      </w:r>
    </w:p>
    <w:p>
      <w:r>
        <w:t>Toujours sur le plan procédural, la décision entreprise taxe de façon définitive la période fiscale 2006. S’agissant en revanche des périodes antérieures, le recourant s’est vu notifier un rappel d’impôt, puisque la taxation de celles-ci était définitive au début du contrôle. a) L’art. 151 al. 1 LIFD, permet à l’autorité fiscale de procéder à un rappel d'impôt, notamment « lorsque des moyens de preuve ou des faits jusque là inconnus de l'autorité fiscale lui permettent d'établir qu'une taxation n'a pas été effectuée, alors qu'elle aurait dû l'être, ou qu'une taxation entrée en force est incomplète(...)». Lorsqu’en revanche, le contribuable a déposé une déclaration complète et précise concernant ses éléments imposables et que l'autorité fiscale en a admis l'évaluation, un rappel d'impôt est exclu, même si cette évaluation était insuffisante (al. 2). Contrairement à ce qui prévalait antérieurement sous le régime de l'AIFD, le rappel d'impôt ne dépend plus exclusivement de la commission d'une infraction fiscale.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Selon la jurisprudence du Tribunal administratif (arrêts FI.1993.0100 du 28 octobre 1994 et FI.1993.0101 du 15 mars 1995), cette règle exigeait seulement que la procédure de révision soit entamée dans le délai de trois mois dès la découverte du motif de révision, mais non pas que la décision arrêtant la taxation révisée soit prise à cette échéance. L’art. 207 al. 1 et 2 LI, applicable à compter de la période 2001, reprend le texte de l’art. 151 al. 1 LIFD. b)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ils le sont s'il y a lieu d'admettre qu'ils eussent amenés à une décision différente s'ils avaient été connus à temps (v. plus généralement sur cette question, Ursina Beerli-Bonorand, Die ausserordentliche Rechtsmittel in der Verwaltungsrechtspflege des Bundes und der Kantone, Zürich 1985, pp. 96-97). c) On rappellera par ailleurs que la LI distingue l'hypothèse de la révision (que l'on peut appeler rappel d'impôt, lorsqu'elle intervient en défaveur du contribuable), de celle de la soustraction d'impôt.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w:t>
      </w:r>
    </w:p>
    <w:p>
      <w:r>
        <w:rPr>
          <w:b/>
        </w:rPr>
        <w:t>E. 6</w:t>
      </w:r>
    </w:p>
    <w:p>
      <w:r>
        <w:t>a) Selon l'art. 3 LI, les personnes physiques sont assujetties à l'impôt à raison de leur rattachement personnel lorsque, au regard du droit fiscal, elles sont domiciliées ou séjournent dans le canton (al. 1). Une personne a son domicile dans le canton, au regard du droit fiscal, lorsqu'elle réside avec l'intention de s'y établir durablement ou lorsqu'elle y a un domicile légal spécial en vertu du droit fédéral (al. 2). Aux termes de l'art. 6 al. 1 LI, l'assujettissement fondé sur un rattachement personnel est illimité; il ne s'étend toutefois pas aux entreprises, aux établissements stables et aux immeubles situés hors du canton. L'art. 6 al. 3 LI précise que "l'étendue de l'assujettissement dans les relations intercantonales et internationales est définie conformément aux règles du droit fédéral concernant l'interdiction de la double imposition intercantonale". b) En matière internationale, les conventions de double imposition visent à prévenir la double imposition découlant de la collision des normes de droit interne par des règles limitant le pouvoir d'imposition des Etats (effet négatif des CDI); en Suisse, de telles règles, en tant que droit fédéral, l'emportent dans tous les cas sur le droit cantonal (Xavier Oberson, Précis de droit fiscal international, Berne 2001, § 4, notes 87 et 89, p. 28 s). c) En l’espèce, dans une argumentation parfois confuse, le recourant fait valoir que qu’il aurait réalisé une partie de ses revenus à l’étranger et qu’il aurait été taxé sur ces derniers par d’autres pays. Or, le recourant a lui-même admis n’avoir jamais passé plus de la moitié de l’année à l’étranger, et il ne soutient pas avoir un domicile fiscal autre que celui sis dans le canton de Vaud. Au surplus, il n’a pas été en mesure de produire une quelconque pièce démontrant de manière convaincante qu’il aurait été taxé dans un pays tiers. Ce grief doit ainsi être rejeté.</w:t>
      </w:r>
    </w:p>
    <w:p>
      <w:r>
        <w:rPr>
          <w:b/>
        </w:rPr>
        <w:t>E. 7</w:t>
      </w:r>
    </w:p>
    <w:p>
      <w:r>
        <w:t>Il reste à examiner le bien-fondé des reprises auxquelles a procédé l'ACI (pour la systématique des reprises, cf. la décision sur réclamation attaquée en partie reproduite dans la partie Fait du présent jugement). A cet égard, il convient de souligner que l’autorité intimée s’est fondée sur les pièces fournies par le recourant lui-même. Celui-ci ne conteste au demeurant pas les éléments du revenu et de la fortune qui ont été pris en compte dans le cadre de la décision entreprise. Il ne remet pas plus en cause les méthodes de calcul, se contentant d’estimer les montants retenus comme trop élevés. Or, faute pour le recourant d’amener le moindre élément de preuve pour nier la réalité des éléments de revenus et de fortune retenus, il s’impose de confirmer la décision entreprise sur ce point. Le recourant fait valoir qu’un emprunt hypothécaire aurait dû être porté en déduction. Or, comme le relève l’autorité intimée, le recourant n’apporte aucun élément probant à l’appui de sa demande.</w:t>
      </w:r>
    </w:p>
    <w:p>
      <w:r>
        <w:rPr>
          <w:b/>
        </w:rPr>
        <w:t>E. 8</w:t>
      </w:r>
    </w:p>
    <w:p>
      <w:r>
        <w:t>Il s'ensuit que, sous réserve des périodes pour lesquelles le droit de taxer est prescrit, l'ensemble des reprises auxquelles a procédé l'autorité intimée doivent être confirmées. Cela étant, les recourants contestent les amendes prononcées à leur encontre pour soustraction et tentative de soustraction à l’impôt.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La tentative de soustraction est réalisée dans les mêmes conditions, mais elle suppose que la taxation insuffisante ne soit pas encore entrée en force au moment de l'intervention du fisc; elle est réprimée par les art. 176 LIFD et 243 LI. aa) La réalisation des éléments objectifs de la soustraction fiscale suppose d’une part que les montants non déclarés constituent des éléments imposables, et d’autre part que ces montants soient entrés dans la sphère de disposition du contribuable (cf. TF, arrêt 2C_620/2012 du 14 février 2013 consid. 3.4). Ainsi,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(arrêt FI.2009.0005 précité, consid. 4a). bb)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(cf. art. 175 al. 1 LIFD et 242 al. 1 LI), la tentative de soustraction ne peut être punie que si elle est intentionnelle (TF, arrêt 2C_1221/2013 et 2C_1222/2013 du 4 septembre 2014 consid. 3.2).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arrêt 2C_1221/2013 et 2C_1222/2013 précité, consid. 3.2 et les références; TF, arrêt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arrêt 2C_664/2008 du 4 février 2009 consid. 4.3; arrêt FI.2009.0005 précité, consid. 4b). b) Tant en droit fédéral qu'en droit cantonal harmonisé, l’amende est fixée en règle générale au montant de l’impôt soustrait; si la faute est légère, elle peut être réduite jusqu’au tiers de ce montant; si elle est grave elle peut être au plus triplée (art. 175 al. 2 LIFD et 242 al. 2 LI). La tentative est réprimée de l’amende (art. 176 al. 1 LIFD et 243 al. 1 LI), fixée au deux tiers de la peine qui serait infligée si la soustraction avait été commise intentionnellement et consommée (art. 176 al. 2 LIFD et 243 al. 2 LI).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(cf. ATF 114 Ib 27 consid. 4a p. 30/31; arrêt FI.2013.0077, FI.2013.0078 du 4 septembre 2014 consid. 9c et les références). La peine "ordinaire" - qui correspond au montant de l'impôt soustrait - est généralement prononcée lorsque l’acte punissable a été commis intentionnellement, en l’absence de circonstances aggravantes ou de circonstances atténuantes . Par faute grave, il faut comprendre entre autres la récidive de même que l’attitude continuellement récalcitrante du contribuable vis-à-vis des autorités fiscales; il y a également circonstance aggravante, en particulier,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arrêt FI.2013.0077, FI.2013.0078 précité, consid. 9c; CR LIFD-Sansonetti, art. 175 LIFD N 47 et 54). Le recourant se contente d’affirmer n’avoir pas voulu sciemment tromper le fisc dès lors que c’était en toute bonne foi qu’il n’avait pas déclaré des revenus perçus à l’étranger et taxés dans des pays tiers. Or, comme on l’a vu, il n’apporte aucun élément de preuve à l’appui d’une telle taxation, et il est admis que le recourant n’a pas porté à la connaissance du fisc l’entier des revenus et éléments de fortune qu’il a réalisés. On se contentera dès lors de relever que les amendes s'inscrivent dans le cadre légal, qu'elles ne sont pas fondées sur des critères étrangers à l'art. 47 CP et que l'autorité intimée a clairement exposé les éléments tant à charge qu'à décharge des recourants; compte tenu de ces différents éléments, la qualification de la faute comme faute moyenne pour A. X.________-Y.________ et légère pour son épouse, et la fixation de la quotité de l'amende apparaissent tout à fait justifiés.</w:t>
      </w:r>
    </w:p>
    <w:p>
      <w:r>
        <w:rPr>
          <w:b/>
        </w:rPr>
        <w:t>E. 9</w:t>
      </w:r>
    </w:p>
    <w:p>
      <w:r>
        <w:t>Bien que, formellement, le recourant obtienne gain de cause en raison de la prescription, il n'en sera pas tenu compte dans la répartition des frais et dépens. En effet, le tribunal était tenu d'examiner d'office la question alors que les griefs soulevés se sont pour le reste révélés infondés. Un émolument, arrêté à 10'000 fr., sera en conséquence mis à la charge du recourant (art. 49 al. 1 LPA-VD); compte tenu de l'issue du litige, il n'y a pas lieu d'allouer une indemnité à titre de dépens (cf. art. 55 al.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