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FI.2013.0033 vom 8. Januar 2014</w:t>
      </w:r>
    </w:p>
    <w:p>
      <w:r>
        <w:t>VD Tribunal cantonal, 2014-01-08, FR</w:t>
      </w:r>
    </w:p>
    <w:p>
      <w:r>
        <w:rPr>
          <w:b/>
        </w:rPr>
        <w:t xml:space="preserve">Quelle: </w:t>
      </w:r>
      <w:r>
        <w:t>https://mcp.opencaselaw.ch/entscheid/vd_omni_FI.2013.0033</w:t>
      </w:r>
    </w:p>
    <w:p>
      <w:r>
        <w:t>FR: VD_OMNI FI.2013.0033 du 8 janvier 2014</w:t>
      </w:r>
    </w:p>
    <w:p>
      <w:r>
        <w:t>IT: VD_OMNI FI.2013.0033 del 8 gennaio 2014</w:t>
      </w:r>
    </w:p>
    <w:p>
      <w:pPr>
        <w:pStyle w:val="Heading2"/>
      </w:pPr>
      <w:r>
        <w:t>Regeste</w:t>
      </w:r>
    </w:p>
    <w:p>
      <w:r>
        <w:t>A. X.________/Administration cantonale des impôts, Administration fédérale des contributions | Réclamations contre une taxation d'office déclarées irrecevables par l'ACI. A juste titre: le recourant ne s'est pas plié à ses obligations de fournir toutes les pièces permettant à l'autorité de procéder à une taxation ordinaire.</w:t>
      </w:r>
    </w:p>
    <w:p>
      <w:pPr>
        <w:pStyle w:val="Heading2"/>
      </w:pPr>
      <w:r>
        <w:t>Erwägungen</w:t>
      </w:r>
    </w:p>
    <w:p>
      <w:r>
        <w:rPr>
          <w:b/>
        </w:rPr>
        <w:t>E. 1</w:t>
      </w:r>
    </w:p>
    <w:p>
      <w:r>
        <w:t>a) Le litige a trait à la taxation d’office du recourant, relativement à l’impôt cantonal et communal, ainsi qu’à l’impôt fédéral direct, pour les périodes 2008 et 2009. b)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les réclamations formées contre les taxations d’office sont irrecevables ou non.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FI.2011.0019 du 16 août 2011, consid. 1).</w:t>
      </w:r>
    </w:p>
    <w:p>
      <w:r>
        <w:rPr>
          <w:b/>
        </w:rPr>
        <w:t>E. 3</w:t>
      </w:r>
    </w:p>
    <w:p>
      <w:r>
        <w:t>Selon le recourant, les éléments de la taxation arrêtée d’office, selon la décision attaquée, ne correspondraient pas à la réalité de ses revenus et fortune. a) Le contribuable a l'obligation de déposer une déclaration complète et exacte au début de chaque période fiscale ou au début de l'assujettissement (art. 124 al. 2  LIFD et 173 al. 1 LI). Cette obligation présente à la fois un côté formel et un côté matériel. D'un point de vue formel, la déclaration, faite sur un formulaire officiel, doit être complète et signée par le contribuable et déposée dans le délai imparti par la loi; en outre, elle doit être accompagnée des annexes (état des dettes, titres, certificat de salaire, etc.; cf. art. 125 al. 1 et 2 LIFD et 175 LI). D'un point de vue matériel, le contribuable est tenu d'indiquer tous les éléments constitutifs de l'obligation fiscale. L'autorité de taxation vérifie d'office le contenu de la déclaration; elle est tenue à cet égard par la maxime inquisitoire; il lui appartient d'établir tous les faits pertinents pour trancher la question qui lui est soumise pour aboutir à une taxation complète et exacte. Lorsque la déclaration remise est dûment remplie et accompagnée des annexes requises, les éléments imposables peuvent en théorie être déterminés, sans qu'il soit nécessaire de procéder à d'autres recherches. L'autorité de taxation peut ainsi se fier aux indications figurant dans la déclaration ou aux renseignements fournis par le contribuable s'ils sont crédibles et complets et ne sont pas affectés de contradictions. Celui-ci est en effet censé connaître sa propre situation et la présenter de manière correcte; sa déclaration bénéficie en conséquence à cet égard d'une présomption naturelle d'exactitude. Lorsqu'en revanche, l'autorité a des doutes quant à l'exactitude de la déclaration d'impôt, elle doit entreprendre des investigations; en vertu des articles 130 al. 1 LIFD et 172 al. 2 LI, elle peut élucider les faits et recueillir les preuves nécessaires (cf. arrêt FI.2011.0019, précité, consid. 3, et les références citées). Aux termes de l’art. 126 al. 1 et 2 LIFD, le contribuable doit faire tout ce qui est nécessaire pour assurer une taxation complète et exacte (al. 1); à la demande de l’autorité de taxation, il doit notamment fournir des renseignements oraux ou écrits, présenter ses livres comptables, les pièces justificatives et les autres attestations, ainsi que les pièces concernant ses relations d’affaires (al. 2). Les art. 42 LHID et 176 LI ont la même teneur (cf. ATF 133 II 114). L’obligation de collaborer ne délie toutefois pas l’autorité de toute charge. Les organes de l’Etat et les particuliers doivent agir de manière conforme aux règles de la bonne foi (art.</w:t>
      </w:r>
    </w:p>
    <w:p>
      <w:r>
        <w:rPr>
          <w:b/>
        </w:rPr>
        <w:t>E. 5</w:t>
      </w:r>
    </w:p>
    <w:p>
      <w:r>
        <w:t>Le recours doit ainsi être rejeté, et la décision attaquée confirmée. Les frais sont mis à la charge du recourant; il n’y a pas lieu d’allouer des dépens (art. 49ss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