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FI.2013.0013 vom 7. März 2013</w:t>
      </w:r>
    </w:p>
    <w:p>
      <w:r>
        <w:t>VD Tribunal cantonal, 2013-03-07, FR</w:t>
      </w:r>
    </w:p>
    <w:p>
      <w:r>
        <w:rPr>
          <w:b/>
        </w:rPr>
        <w:t xml:space="preserve">Quelle: </w:t>
      </w:r>
      <w:r>
        <w:t>https://mcp.opencaselaw.ch/entscheid/vd_omni_FI.2013.0013</w:t>
      </w:r>
    </w:p>
    <w:p>
      <w:r>
        <w:t>FR: VD_OMNI FI.2013.0013 du 7 mars 2013</w:t>
      </w:r>
    </w:p>
    <w:p>
      <w:r>
        <w:t>IT: VD_OMNI FI.2013.0013 del 7 marzo 2013</w:t>
      </w:r>
    </w:p>
    <w:p>
      <w:pPr>
        <w:pStyle w:val="Heading2"/>
      </w:pPr>
      <w:r>
        <w:t>Regeste</w:t>
      </w:r>
    </w:p>
    <w:p>
      <w:r>
        <w:t>A. X.________/Administration cantonale des impôts, Administration fédérale des contributions | Irrecevabilité du recours pour défaut du paiement de l'avance de frais. Recours au Tribunal fédéral rejeté dans la mesure où il est recevable (arrêt 2C_301/2013 et 2C_302/2013 du 17 décembre 2013).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- que l'avance requise n'a pas été effectuée dans le délai prescrit, - que le tribunal ne peut ainsi entrer en matière sur le recours (art. 47 al. 3 LPA-VD),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