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FI.2013.0011 vom 23. Mai 2013</w:t>
      </w:r>
    </w:p>
    <w:p>
      <w:r>
        <w:t>VD Tribunal cantonal, 2013-05-23, FR</w:t>
      </w:r>
    </w:p>
    <w:p>
      <w:r>
        <w:rPr>
          <w:b/>
        </w:rPr>
        <w:t xml:space="preserve">Quelle: </w:t>
      </w:r>
      <w:r>
        <w:t>https://mcp.opencaselaw.ch/entscheid/vd_omni_FI.2013.0011</w:t>
      </w:r>
    </w:p>
    <w:p>
      <w:r>
        <w:t>FR: VD_OMNI FI.2013.0011 du 23 mai 2013</w:t>
      </w:r>
    </w:p>
    <w:p>
      <w:r>
        <w:t>IT: VD_OMNI FI.2013.0011 del 23 maggio 2013</w:t>
      </w:r>
    </w:p>
    <w:p>
      <w:pPr>
        <w:pStyle w:val="Heading2"/>
      </w:pPr>
      <w:r>
        <w:t>Regeste</w:t>
      </w:r>
    </w:p>
    <w:p>
      <w:r>
        <w:t>A.________SA/Administration cantonale des impôts, Administration fédérale des contributions | L'autorité de recours est liée par le dispositif et les motifs de son arrêt de renvoi. Cela implique qu'elle ne peut plus revenir sur les points déjà résolus par ce dernier. Elle doit cependant vérifier si la nouvelle décision de l'autorité inférieure est conforme aux instructions qu'elle-même avait énoncées dans son arrêt. En l'espèce, tel est bien le cas; l'autorité intimée a corrigé sa reprise dans les charges comptabilisées de la recourante d'une partie du loyer facturé par son actionnaire, d'une part, et annulé la reprise ayant trait à un revenu en lieu et place de l'amortissement comptabilisé pour le véhicule de luxe, considéré comme un actif fictif, d'autre part. Cela se traduit par une diminution conséquente des amendes infligées à la recourante pour soustraction et tentative de soustraction, par rapport à la décision précédente; au surplus, celles-ci correspondent au montant de l'impôt soustrait et au deux tiers en cas de tentative. Recours admis et arrêt partiellement annulé par ATF 2C_589/2013 et 2C_590/2013 du 17 janvier 2014.</w:t>
      </w:r>
    </w:p>
    <w:p>
      <w:pPr>
        <w:pStyle w:val="Heading2"/>
      </w:pPr>
      <w:r>
        <w:t>Erwägungen</w:t>
      </w:r>
    </w:p>
    <w:p>
      <w:r>
        <w:rPr>
          <w:b/>
        </w:rPr>
        <w:t>E. 1</w:t>
      </w:r>
    </w:p>
    <w:p>
      <w:r>
        <w:t>La décision attaquée en l’occurrence fait suite à l’arrêt FI.2011.0067 du 14 août 2012. Postérieurement à cet arrêt de renvoi, l’autorité intimée a rendu une nouvelle décision que la recourante a déférée devant le Tribunal. En l'absence de règles particulières, comme c'est le cas en procédure administrative vaudoise, on s'accorde à admettre que les dispositions qui fixent expressément la portée d'un tel arrêt sont l'expression d'un principe général de procédure; elles sont applicables même en l'absence de texte légal exposant cette conséquence (ATF 99 1b 519 consid. 1b p. 520; v. Jean-François Poudret, Commentaire de la loi fédérale d'organisation judiciaire, Berne 1990, vol. II, note 1.3.4, in fine, ad art. 66, p. 600; André Grisel, Traité de droit administratif suisse, Neuchâtel 1984, vol. II, p. 936; Fritz Gygi, Bundesverwaltungsrechtspflege, 2 ème éd., Berne 1983, p. 232 ). a) On rappelle qu’un arrêt de renvoi a une triple portée. Tout d'abord, il oblige l'autorité à laquelle le dossier est renvoyé à statuer; celle-ci doit le faire ensuite dans les limites tracées par l'arrêt de renvoi, c'est-à-dire en se conformant aux considérants du jugement (cf. Ulrich Meyer/Johanna Dorman, in Basler Kommentar, Bundesgerichtgesetz, [ Niggli/ Ü bersax/Wiprächtiger éd. ]</w:t>
      </w:r>
    </w:p>
    <w:p>
      <w:r>
        <w:rPr>
          <w:b/>
        </w:rPr>
        <w:t>E. 2</w:t>
      </w:r>
    </w:p>
    <w:p>
      <w:r>
        <w:t>x 137 fr.). Tenant compte de ce qui précède, l’autorité intimée a dûment corrigé sa reprise au ch. 1.01, laquelle a été ramenée de 52'700 à 29'500 francs. La décision attaquée est à cet égard conforme à l’arrêt de renvoi. b) Sous chiffre 1.03, l’autorité intimée avait initialement repris un montant total de 296'216 fr., dans les comptes de la recourante 2002 à 2005, à titre de coût pour la mise à disposition d’un véhicule C.________. Au considérant 6b) de son arrêt de renvoi, le Tribunal a estimé qu’il s’agissait-là d’un actif fictif, de sorte que la charge d’amortissement indûment comptabilisée ne pouvait pas être déduite des charges de la recourante, ce qui avait pour effet de réduire d’autant la réserve négative dans ses fonds propres imposables. Il a estimé en outre que les différents frais afférents directement au véhicule comptabilisés comme charges constituaient une distribution dissimulée de bénéfice à l’actionnaire et devaient être repris. Ainsi, il importait à l’autorité intimée de calculer à nouveau cette reprise. Or, la recourante, qui reprend ses arguments précédents, et dans une certaine mesure, l’autorité intimée reviennent sur ce considérant. Ils prient tous deux le Tribunal de reconsidérer son raisonnement sur ce point. Comme on l’a dit plus haut, celui-ci est toutefois lié tant par les motifs que par le dispositif de son arrêt de renvoi. Dans la décision attaquée, cela s’est tout d’abord traduit par l’annulation de la reprise de 296'216 fr. et la comptabilisation, dans les charges de l’exercice 2003, d’un revenu de 81'166 fr. en lieu et place de l’amortissement comptabilisé par la recourante (ch. 1.03). De même, la contre-valeur du véhicule a été extournée au capital, durant les exercices 2003 et 2004, ce qui représente une diminution de -865'012 fr. du poste des actifs (ch. 1.03). En deuxième lieu, l’autorité intimée a annulé la comptabilisation du bénéfice résultant de la vente dudit véhicule à B.________, le 17 novembre 2005; cela conduit à une reprise négative de -77'267 fr. en 2005 (ch. 1.07). La décision attaquée s’avère ainsi conforme au considérant 6b) de l’arrêt de renvoi et aux instructions contraignantes y figurant. c) Ainsi, la décision attaquée a pour conséquence de ramener de 643'449 à 174'720 fr. le total des éléments soustraits du revenu et de 103'642 à -1'626'382 fr. le total des éléments soustraits du capital de la recourante. Le complément d’impôt cantonal et communal se monte ainsi à 30'855 fr.95 au lieu de 87'197 fr.55 et, s’agissant de l’impôt fédéral direct, à 6'698 fr.55 au lieu de 39'283 fr.40. Cela doit nécessairement se traduire par une diminution conséquente des pénalités infligées à la recourante pour soustraction et tentative de soustraction, par rapport à la décision précédente. Tel est bien le cas puisque s’agissant de l’impôt cantonal et communal, les amendes prononcées à l’encontre de la recourante sont passées, en ce qui concerne les années 2000 à 2003, de 25'600, 13'800, 4'100, respectivement 5'300 fr., selon la décision annulée par arrêt de renvoi, à 17'900, 9'600, 2'400, respectivement 4'400 fr., selon la décision attaquée. En outre, il a été renoncé à toute pénalité pour les années 2004 et 2005. Quant à l’impôt fédéral direct, les amendes se montaient pour les mêmes années à 6'500, 6'500, 1'400 respectivement 2'600 fr. selon la première décision; elles ont été ramenées dans la décision attaquée à 4'500, 4'500, 600 respectivement 2'100 francs. Là également, aucune pénalité n’a été prononcée pour les années 2004 et 2005. Ainsi, pour les années 2000 et 2001, force est de constater que les amendes correspondent à l’impôt soustrait et, pour les années 2002 et 2003 (tentative de soustraction), celles-ci en représentent les deux tiers. La détermination des pénalités est ainsi conforme aux articles 243 LI et 176 LIFD. La décision attaquée ne prête en conséquence pas le flanc à la critique et du reste, la recourante, qui concentre ses griefs sur la reprise examinée précédemment, ne dit mot des amendes telles que recalculées par l’autorité intimée.</w:t>
      </w:r>
    </w:p>
    <w:p>
      <w:r>
        <w:rPr>
          <w:b/>
        </w:rPr>
        <w:t>E. 3</w:t>
      </w:r>
    </w:p>
    <w:p>
      <w:r>
        <w:t>De ce qui précède, il résulte que le recours doit être rejeté et la décision attaquée, confirmée. La recourante succombant, un émolument sera mis à sa charge, vu les articles 49 al. 1 et 91 de la loi vaudoise du 28 octobre 2008 sur la procédure administrative (LPA-VD; RSV 173.36). En outre, il ne sera pas alloué de dépens, vu en outre l’art.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