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FI.2013.0002 vom 8. Februar 2013</w:t>
      </w:r>
    </w:p>
    <w:p>
      <w:r>
        <w:t>VD Tribunal cantonal, 2013-02-08, FR</w:t>
      </w:r>
    </w:p>
    <w:p>
      <w:r>
        <w:rPr>
          <w:b/>
        </w:rPr>
        <w:t xml:space="preserve">Quelle: </w:t>
      </w:r>
      <w:r>
        <w:t>https://mcp.opencaselaw.ch/entscheid/vd_omni_FI.2013.0002</w:t>
      </w:r>
    </w:p>
    <w:p>
      <w:r>
        <w:t>FR: VD_OMNI FI.2013.0002 du 8 février 2013</w:t>
      </w:r>
    </w:p>
    <w:p>
      <w:r>
        <w:t>IT: VD_OMNI FI.2013.0002 del 8 febbraio 2013</w:t>
      </w:r>
    </w:p>
    <w:p>
      <w:pPr>
        <w:pStyle w:val="Heading2"/>
      </w:pPr>
      <w:r>
        <w:t>Regeste</w:t>
      </w:r>
    </w:p>
    <w:p>
      <w:r>
        <w:t>A. X.________, B. X.________/Municipalité de 1******** | Recours irrecevable faute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- que l'avance requise n'a pas été effectuée dans le délai prescrit, - que le tribunal ne peut ainsi entrer en matière sur le recours (art. 47 al. 3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