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FI.2012.0081 vom 21. Februar 2013</w:t>
      </w:r>
    </w:p>
    <w:p>
      <w:r>
        <w:t>VD Tribunal cantonal, 2013-02-21, FR</w:t>
      </w:r>
    </w:p>
    <w:p>
      <w:r>
        <w:rPr>
          <w:b/>
        </w:rPr>
        <w:t xml:space="preserve">Quelle: </w:t>
      </w:r>
      <w:r>
        <w:t>https://mcp.opencaselaw.ch/entscheid/vd_omni_FI.2012.0081</w:t>
      </w:r>
    </w:p>
    <w:p>
      <w:r>
        <w:t>FR: VD_OMNI FI.2012.0081 du 21 février 2013</w:t>
      </w:r>
    </w:p>
    <w:p>
      <w:r>
        <w:t>IT: VD_OMNI FI.2012.0081 del 21 febbraio 2013</w:t>
      </w:r>
    </w:p>
    <w:p>
      <w:pPr>
        <w:pStyle w:val="Heading2"/>
      </w:pPr>
      <w:r>
        <w:t>Regeste</w:t>
      </w:r>
    </w:p>
    <w:p>
      <w:r>
        <w:t>A. X.________/Administration cantonale des impôts, Divisione delle contribuzioni, Municipalité de 1********, Commune de 2******** | Célibataire et âgé de 32 ans, le recourant est venu du Tessin en octobre 1998 pour étudier à Lausanne. Il y est demeuré après avoir obtenu son doctorat à l'EPFL en 2007. Après avoir été engagé dans le secteur privé, il a repris ses activités à l'EPFL où il est assuré de pouvoir travailler jusqu'en juillet 2013. C'est par conséquent à bon droit que l'autorité a estimé que le recourant s'était créé un domicile, déterminant au plan fiscal, à Lausanne à compter du 1er janvier 2011.</w:t>
      </w:r>
    </w:p>
    <w:p>
      <w:pPr>
        <w:pStyle w:val="Heading2"/>
      </w:pPr>
      <w:r>
        <w:t>Erwägungen</w:t>
      </w:r>
    </w:p>
    <w:p>
      <w:r>
        <w:rPr>
          <w:b/>
        </w:rPr>
        <w:t>E. 1</w:t>
      </w:r>
    </w:p>
    <w:p>
      <w:r>
        <w:t>a) Le principe de la prohibition de la double imposition, déduit de l’art. 127 al. 3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 2.1 pp. 306 s.; 133 I 19 consid. 2.1 p. 20; 132 I 29 consid. 2.1 pp. 31 s.; 220 consid. 2.1 pp. 222 s. et les arrêts cités). b) Le litige a exclusivement trait dans le cas d'espèce à la fixation par l'ACI du domicile fiscal du recourant à 1******** et dans le canton de Vaud à compter du 1 er janvier 2010; le recourant soutient en effet que son domicile principal est demeuré à 2******** et partant, qu’il demeure assujetti de façon illimitée dans le canton du Tessin.</w:t>
      </w:r>
    </w:p>
    <w:p>
      <w:r>
        <w:rPr>
          <w:b/>
        </w:rPr>
        <w:t>E. 2</w:t>
      </w:r>
    </w:p>
    <w:p>
      <w:r>
        <w:t>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 principe général du for d'imposition dans le canton est énoncé à l'article 18 al. 1 LI, à teneur duquel les personnes physiques domiciliées ou en séjour dans le canton, au regard du droit fiscal, doivent l'impôt au lieu de domicile ou de leur séjour. Cette règle est conforme à celle de l’art. 3 al. 2 LHID; cf. ATF 131 I 145 consid. 4.1 p. 150). Par ailleurs, à teneur de l'art. 9 de la loi vaudoise du 5 décembre 1956 sur les impôts communaux (LICom; RSV 650.11) ,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de loi vaudoise du 28 octobre 2008 sur la procédure administrative (LPA-VD; RSV 173.36) . Ainsi, l 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(ATF 2P.212/2002 du 19 mai 2003, consid. 1.2). A compter de 2001, le principe est celui de l'unité de la période fiscale; il convient désormais de prendre en compte la situation du contribuable prévalant au 31 décembre de l'année durant laquelle le transfert du domicile est intervenu. C'est la conséquence de l'entrée en vigueur de la loi fédérale du 15 décembre 2000 sur la coordination et la simplification des procédures de taxation des impôts directs dans les rapports intercantonaux (RO 2001 1050), laquelle modifie notamment l'art. 15 al. 3 LHID, modification concrétisée en matière d'impôts directs cantonaux et communaux par l'art. 8 al. 3 LI, nouvelle teneur. Le canton de Vaud ayant opté pour le système d’imposition annuel postnumerando depuis l’année 2003, c’est donc la situation telle qu’elle se présente au 31 décembre qui fait foi pour toute l’année écoulée, y compris pour l’assujettissement illimité ou limité d’un contribuable à l’impôt (art. 8 al. 3 LI). A cela s’ajoute qu’à teneur de l’art. 39 al. 2, deuxième phrase, LHID, l 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 Cette règle vise à mettre en place une meilleure circulation des informations entre les autorités fiscales cantonales concernées et à faciliter l’accomplissement par le contribuable de ses obligations (v. Etienne Poltier, Quelques aspects de droit de procédure en matière de double imposition intercantonale, in RDAF 2003, p. 435). b) La législation en matière d'imposition directe se réfère en premier lieu au domicile, tel qu'il est défini selon le droit civil. L'art. 3 al. 2 LI est cependant calqué sur l'art. 3 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 de déterminer où celui-ci a l'intention de s'établir de façon durable (v. Jean-Marc Rivier, L'assujettissement à l'impôt des personnes physiques, in Archives de droit fiscal 61, p. 283 et ss, not. 284; Ernst Höhn/Peter Mäusli, Interkantonales Steuerrecht, 4 ème éd. Berne/Stuttgart/Vienne 2000, § 7, Nr. 8, pp. 81-82). Dès lors, la notion de domicile développée par la jurisprudence à partir du droit civil demeure valable (v. arrêt FI.1995.0063 du 26 novembre 1996). Il convient ainsi de se référer en premier lieu à la notion civile du domicile, avant d'examiner dans un deuxième temps les particularités du droit fiscal. aa) On rappellera qu'à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Tuor/Bernhard Schnyder/Jörg Schmid, Das schweizerische Zivilgesetzbuch, 11 ème édition, Zurich 1995, p. 84; Henri Deschenaux/Paul-Henri Steinauer, Personnes physiques et tutelles, 4 ème édition, Berne 2001, n° 371, p. 115).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(v. Daniel Staehelin, in Basler Kommentar zum schweizerischen Privatrecht, Schweizerisches Zivilgesetzbuch I, 2 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Le droit civil pose en outre comme règle à l'art 23 al. 2 CC l'unité du domicile. Cela implique, pour une personne résidant de façon alternative en deux endroits distincts, que sera considéré alors comme étant son domicile celui avec lequel elle entretien les liens les plus étroits (Staehelin, op. cit., n. 30 ad art. 23, réf. citées; Brückner, op. cit., n. 332). bb) Le droit fiscal diffère cependant du droit civil en ce que les circonstances réelles, économiques et personnelles ont plus d'importance que les indices formels ou juridiques (v. Walter Ryser/Bernard Rolli, Précis de droit fiscal suisse, 4 ème éd., Berne 2001, p. 26). Ainsi, il est nécessaire que ces circonstances puissent être objectivement constatées; les liens d'un contribuable avec l'endroit qu'il allègue être son domicile ne sauraient avoir un simple caractère affectif (ATF du 31 mars 1965, in Archives 35, 254 consid. 2). De même, les annonces faites aux autorités de contrôle des habitants et le dépôt des papiers de légitimation ne sont pas déterminants, dans la mesure où ils ne constituent que de simples indices (ATF 115 la 212, consid. 3; 108 la 252, consid.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(v. Jean-Marc Rivier, Droit fiscal suisse, L'imposition du revenu et de la fortune, 2 ème éd., Lausanne 1998, p. 312; Archives de droit fiscal 41, p. 136 et ss, not. 141; arrêts FI.1997.0010 du 28 décembre 1998; FI.1995.0063, déjà cité; FI.1991.0037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Cet élément s’apprécie également au regard de l’ensemble des circonstances spéciales du cas (ATF 123 I 289 consid. 2b p. 294). Ainsi, pour le contribuable marié, les liens créés par les rapports personnels et familiaux sont tenus pour plus forts que ceux tissés au lieu du travail; pour cette raison, ces personnes sont imposables au lieu de résidence de la famille (ATF 132 I 29 consid. 4.2 p. 36; 125 I 54 consid. 2b/aa p. 56/57; 125 I 458 consid. 2d p. 467 s.; 121 I 14 consid.</w:t>
      </w:r>
    </w:p>
    <w:p>
      <w:r>
        <w:rPr>
          <w:b/>
        </w:rPr>
        <w:t>E. 4</w:t>
      </w:r>
    </w:p>
    <w:p>
      <w:r>
        <w:t>Il suit de ce qui précède que le recours ne peut qu’être rejeté et la décision attaquée, confirmée. Le recourant succombant, un émolument judiciaire sera mis à sa charge (cf. art. 49 al. 1 et 91 LPA-VD). En outre, l’allocation de dépens n’entre pas en ligne de compte (cf. art. 44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