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FI.2012.0068 vom 11. Januar 2013</w:t>
      </w:r>
    </w:p>
    <w:p>
      <w:r>
        <w:t>VD Tribunal cantonal, 2013-01-11, FR</w:t>
      </w:r>
    </w:p>
    <w:p>
      <w:r>
        <w:rPr>
          <w:b/>
        </w:rPr>
        <w:t xml:space="preserve">Quelle: </w:t>
      </w:r>
      <w:r>
        <w:t>https://mcp.opencaselaw.ch/entscheid/vd_omni_FI.2012.0068</w:t>
      </w:r>
    </w:p>
    <w:p>
      <w:r>
        <w:t>FR: VD_OMNI FI.2012.0068 du 11 janvier 2013</w:t>
      </w:r>
    </w:p>
    <w:p>
      <w:r>
        <w:t>IT: VD_OMNI FI.2012.0068 del 11 gennaio 2013</w:t>
      </w:r>
    </w:p>
    <w:p>
      <w:pPr>
        <w:pStyle w:val="Heading2"/>
      </w:pPr>
      <w:r>
        <w:t>Regeste</w:t>
      </w:r>
    </w:p>
    <w:p>
      <w:r>
        <w:t>X.___________ c/Administration cantonale des impôts | Prise en compte de la donation antérieure, pour la détermination du taux d'impôt sur les successions selon l'art. 30 al. 4 LMSD. L'art. 170 LI, concernant la prescription du droit de taxer, ne s'applique pas à la LMSD, comme loi spéciale. De surcroît, le droit de taxer la succession n'est pas prescrit au regard de art. 77 et 78 LMSD. Recours au TF irrecevable (ATF 2C_138/2013 du 12 février 2013).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tant que de besoin, il est précisé que le président de la Cour n’a pas de lien de parenté avec C._______________, fiscaliste de l’ACI, qui a traité l’affaire en première instance. Partant, il n’existe pas de motif de récusation au sens de l’art. 9 let. d de la loi du 28 octobre 2008 sur la procédure administrative (LPA-VD, RSV 173.36).</w:t>
      </w:r>
    </w:p>
    <w:p>
      <w:r>
        <w:rPr>
          <w:b/>
        </w:rPr>
        <w:t>E. 2</w:t>
      </w:r>
    </w:p>
    <w:p>
      <w:r>
        <w:t>Le recourant a formulé des conclusions concernant également deux autres héritiers contribuables, raison pour laquelle il a été invité à produire une procuration en sa faveur, conformément à l’art. 16 al. 3 LPA-VD. Le recourant n’a toutefois pas obtempéré à cette injonction. Il suit de là qu’il n’est pas habilité à agir pour d’autres que lui-même.</w:t>
      </w:r>
    </w:p>
    <w:p>
      <w:r>
        <w:rPr>
          <w:b/>
        </w:rPr>
        <w:t>E. 3</w:t>
      </w:r>
    </w:p>
    <w:p>
      <w:r>
        <w:t>La matière est régie par la loi du 27 février 1963 concernant le droit de mutation sur les transferts immobiliers et l’impôt sur les successions et donations (LMSD, RSV 648.11).</w:t>
      </w:r>
    </w:p>
    <w:p>
      <w:r>
        <w:rPr>
          <w:b/>
        </w:rPr>
        <w:t>E. 4</w:t>
      </w:r>
    </w:p>
    <w:p>
      <w:r>
        <w:t>De même, lorsqu'un donataire devient plus tard héritier ou légataire du donateur, il est tenu compte des donations antérieures, y compris les donations exonérées de l'impôt conformément aux dispositions de l'article 16, lettres a et b, pour le calcul du taux d'imposition sur la succession ou le legs et, le cas échéant, pour le dégrèvement.</w:t>
      </w:r>
    </w:p>
    <w:p>
      <w:r>
        <w:rPr>
          <w:b/>
        </w:rPr>
        <w:t>E. 5</w:t>
      </w:r>
    </w:p>
    <w:p>
      <w:r>
        <w:t>Le recours doit ainsi être rejeté, et la décision attaquée confirmée. Les frais sont mis à la charge du recourant (art. 49 LPA-VD). Il n’y a pas lieu d’allouer des dépens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