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FI.2012.0048 vom 13. Dezember 2012</w:t>
      </w:r>
    </w:p>
    <w:p>
      <w:r>
        <w:t>VD Tribunal cantonal, 2012-12-13, FR</w:t>
      </w:r>
    </w:p>
    <w:p>
      <w:r>
        <w:rPr>
          <w:b/>
        </w:rPr>
        <w:t xml:space="preserve">Quelle: </w:t>
      </w:r>
      <w:r>
        <w:t>https://mcp.opencaselaw.ch/entscheid/vd_omni_FI.2012.0048</w:t>
      </w:r>
    </w:p>
    <w:p>
      <w:r>
        <w:t>FR: VD_OMNI FI.2012.0048 du 13 décembre 2012</w:t>
      </w:r>
    </w:p>
    <w:p>
      <w:r>
        <w:t>IT: VD_OMNI FI.2012.0048 del 13 dicembre 2012</w:t>
      </w:r>
    </w:p>
    <w:p>
      <w:pPr>
        <w:pStyle w:val="Heading2"/>
      </w:pPr>
      <w:r>
        <w:t>Regeste</w:t>
      </w:r>
    </w:p>
    <w:p>
      <w:r>
        <w:t>X.________ c/Administration cantonale des impôts, Administration fédérale des contributions | Plâtrier-Peintre salarié de sa propre Sàrl et qui continue son activité sous sa raison individuelle. L'intéressé revendique la déductibilité d'un prêt consenti à une entreprise de construction, à l'époque où il était encore salarié, expliquant que la créance en remboursement fait partie de sa fortune commerciale dès lors que l'emprunteuse lui a apporté des mandats. Or, les factures qu'il a comptabilisées suite aux travaux qui lui ont été confiés par celle-ci sont insignifiantes au regard de son chiffre d'affaires. Du reste, pour qu'il en soit ainsi, ce prêt aurait déjà dû être comptabilisé dans la Sàrl. L'intéressé était conscient de la nature privée de l'opération puisqu'il l'a déclarée dans l'état des titres composant sa fortune privée. Or, il a cherché, ce nonobstant, à faire passer cette créance dans sa fortune commerciale durant l'année suivante, ce que l'on ne saurait admettre.</w:t>
      </w:r>
    </w:p>
    <w:p>
      <w:pPr>
        <w:pStyle w:val="Heading2"/>
      </w:pPr>
      <w:r>
        <w:t>Erwägungen</w:t>
      </w:r>
    </w:p>
    <w:p>
      <w:r>
        <w:rPr>
          <w:b/>
        </w:rPr>
        <w:t>E. 1</w:t>
      </w:r>
    </w:p>
    <w:p>
      <w:r>
        <w:t>Initialement, la décision attaquée comportait deux volets. a) Dans le premier, l’autorité intimée avait confirmé la reprise opérée dans la fortune du recourant, durant les trois périodes fiscales ici en cause, au titre du prêt que celui-ci avait consenti à son frère A.________. Le recourant a contesté cette reprise; en substance, selon ses explications, la créance qu’il détient contre son frère ne peut être recouvrée du fait de l’insolvabilité de celui-ci. Dans sa réponse, l’autorité intimée a accueilli les explications du recourant; elle a abandonné cette reprise dans la fortune du recourant et par conséquent, a modifié sa décision en ce sens. On rappelle à cet égard qu’en lieu et place de ses déterminations, l'autorité intimée peut rendre une nouvelle décision partiellement ou totalement à l'avantage du recourant (art. 83 al. 1 de la loi vaudoise du 28 octobre 2008 sur la procédure administrative – LPA-VD; RSV 173.36). Cela conduit à l’admission du recours en tant qu’il porte sur cette question, qui n’est par conséquent plus litigieuse. b) Le second volet de la décision a trait à la créance que le recourant détenait contre Z.________ S.àr.l. en liquidation, pour laquelle celui-ci avait comptabilisé une provision en 2005. Les parties demeurent divisées sur le point de savoir si cette créance fait partie de la fortune commerciale du recourant, comme celui-ci le soutient, ou de sa fortune privée, comme le retient l’autorité intimée dans sa décision. Il s’agit là du seul objet subsistant du recours.</w:t>
      </w:r>
    </w:p>
    <w:p>
      <w:r>
        <w:rPr>
          <w:b/>
        </w:rPr>
        <w:t>E. 2</w:t>
      </w:r>
    </w:p>
    <w:p>
      <w:r>
        <w:t>ème éd. Lausanne 1998, p. 342 ss; sur la portée du dernier élément, v. StE 1993 B 23.9 n° 5; Revue fiscale 1994 p. 575). L’attribution d’un élément à la fortune privée ou commerciale se fait sur l’appréciation de l’ensemble des circonstances. La fonction technique et économique dans l’entreprise constitue le critère d’attribution déterminant; il s’agit, en première ligne, de déterminer si l’élément en question sert effectivement à la marche de l’entreprise (ATF 133 II 420 consid. 3.2 p. 422; Markus Reich, in Kommentar zum schweizerischen Steuerrecht, I/2a, N. 48 ad art. 18 LIFD). L’autorité fiscale doit se rapporter au moment de l’engagement de la dépense, en se demandant si l’on pouvait raisonnablement admettre sa simple utilité pour l’activité professionnelle (Noël, op. cit., p. 460). Selon la méthode de la prépondérance, la fortune commerciale comprend tous les éléments de fortune mixtes (c’est-à-dire ceux dont l’utilisation est en partie commerciale et en partie privée) qui servent entièrement ou de manière prépondérante à l’exercice de l’activité lucrative indépendante. En revanche, les objets qui ne servent pas de manière prépondérante à l’activité commerciale appartiennent à la fortune privée, même s’ils sont partiellement utilisés à des fins commerciales (ATF 133 II 420 consid. 3.3 p. 423, Reich, op. cit. N. 54 ad art. 18 LIFD). d) Un bien peut faire partie de la fortune commerciale de l’associé d’une société, sans nécessairement appartenir au patrimoine de celle-ci. Tel est notamment le cas des actions d’une société anonyme que possède le titulaire d’une raison individuelle, si les deux entreprises sont en étroite relation économique, lorsque les titres ont été acquis dans des buts commerciaux ou pour détenir une influence déterminante sur une société exerçant une activité semblable ou la complétant judicieusement, par exemple en tant que fournisseur ou client, ce qui permet d’élargir le champ d’activité de l’entreprise originaire. L’élément déterminant est la volonté du contribuable de mettre concrètement à profit ses droits de participation pour améliorer le résultat commercial de sa propre entreprise (ATF 2A.431/2000 du 9 avril 2001, Revue fiscale 2001 p. 500ss; Martin Arnold, Geschäfts- und Privatvermögen im schweizerischen Einkommenssteuerrecht, in Archives 75 p. 265ss). Comme exemples, on peut citer le cas du coiffeur qui acquiert les actions d’une société de capitaux exploitant d’autres salons de coiffure (ATF 2A.17/1989 du 28 juin 1989, cité par Arnold, op. cit., p. 287 n. 100); du boucher détenant des parts dans une société qui vise à créer un centre industriel de produits carnés destinés à être vendus en gros dans des grandes surfaces commerciales (ATF 2A.431/2000, précité); de l’architecte qui acquiert des parts d’une société immobilière, en vue d’obtenir des mandats pour son bureau (ATF 2A.547/2004 du 22 avril 2005, StE 2006 B 23.3 Nr. 31); d’associés qui détiennent une société anonyme et une société en nom collectif, dont le siège est le même, et l’activité complémentaire, l’une fabriquant des articles vendus par l’autre, qui prend en outre à sa charge une partie des frais généraux de la première (arrêt FI.2000.0016 du 20 décembre 2002, consid. 4); du garagiste et mécanicien qui détient le capital d’une société anonyme dont le but est notamment de vendre des machines, des véhicules et des outils, ainsi que d’exploiter un garage (arrêt FI.2009.0119 du 31 janvier 2011, consid. 5d ; de l’exploitant de kiosques qui exerce parallèlement une activité de grossiste en produits pour kiosques (ATF 2C_349/2009 du 16 novembre 2009).</w:t>
      </w:r>
    </w:p>
    <w:p>
      <w:r>
        <w:rPr>
          <w:b/>
        </w:rPr>
        <w:t>E. 3</w:t>
      </w:r>
    </w:p>
    <w:p>
      <w:r>
        <w:t>En l’occurrence, ce n’est pas la solvabilité de la débitrice du prêt, en contrepartie duquel le recourant a comptabilisé une provision, qui est en cause, mais bien la nature de cette créance. a) Des explications que le recourant et son mandataire ont fournies lors de leurs auditions devant l’autorité fiscale, ainsi que des pièces jointes au recours, on retire que c’est dans le courant de l’année 2002 qu’un prêt de 70'000 fr., portant intérêt à 7% l’an, a été consenti à Z.________ S.àr.l. Le recourant le reconnaît lui-même; à cette époque, il n’avait pas encore repris ses activités sous une forme indépendante. Jusqu’à fin 2002, il était du reste toujours salarié de Y.________ S.àr.l. et a été imposé comme tel durant la période 2001-2002. On constate, cela étant, que cette créance n’a pas été portée à l’état des titres avec la déclaration 2001-2002 bis . Le 1 er janvier 2003, le recourant s’est mis à son compte et a repris les activités de la S.àr.l. sous sa raison individuelle. Il a été imposé depuis lors comme indépendant et a produit sa comptabilité dans laquelle la créance à l’encontre de Z.________ S.àr.l. n’a été activée, ni durant l’exercice 2003, ni durant l’exercice 2004. En outre, cette créance ne figure pas dans l’état des titres joint à la déclaration 2003. C’est durant l’année 2004 que le recourant a mentionné pour la première fois l’existence de cette créance, dans l’état des titres de sa fortune privée cependant, pour un montant de 85'603 fr. Durant l’année 2005, le recourant a activé cette créance dans sa comptabilité et a ouvert une provision à due concurrence de son montant dans le compte de charges. A la fin de l’année 2006, cette provision a entièrement été amortie; en effet, la faillite de l’emprunteuse a, entre-temps, été prononcée. b) Sans doute, le recourant explique que ce prêt avait une contrepartie de nature commerciale. Il était entendu au demeurant que l’emprunteuse, entreprise de construction, le favorise dans l’octroi de travaux de plâtrerie. Le recourant en veut pour démonstration le chiffre d’affaires qu’il a réalisé en 2003 et en 2004, alors qu’il s’agissait de ses deux premières années comme indépendant. Cette démonstration n’est pas suffisante pour se convaincre de la nature commerciale de l’opération. Il ressort du compte «chiffre d’affaires» que sur un total de près de 900'000 fr. en 2003, le recourant n’a comptabilisé que des petites factures relatives à Z.________ S.àr.l., totalisant 50'000 francs. Quoi qu’il en soit, l’explication du recourant est de toute façon contredite par les circonstances dans lesquelles le prêt a été, à l’époque, consenti. L’activité que le recourant a exercé sous sa raison individuelle n’est que le simple prolongement de celle développée jusqu’alors par Y.________ S.àr.l. Le prêt ne peut pas être considéré comme faisant partie des mesures préparatoires en vue de l’exercice d’une nouvelle activité, puis que le recourant a continué son activité sous une autre forme juridique. Dès lors, pour revêtir un caractère commercial, ce prêt aurait déjà dû être comptabilié dans la S.àr.l. en 2002. En outre, force est de constater que ce prêt a été consenti à une époque où le recourant était salarié, de sorte que la créance en découlant ne pouvait avoir qu’une nature éminemment privée. Le recourant lui-même en était conscient puisqu’il l’a déclaré, comme on l’a vu, dans l’état des titres composant sa fortune privée durant l’année 2004. Or, il a cherché, ce nonobstant, à faire passer cette créance dans sa fortune commerciale durant l’année 2005, ce que l’on ne saurait admettre. Sans doute, l’intérêt consenti par le recourant paraît élevé; cela pourrait, comme le relève le recourant, se justifier au regard du risque commercial assumé par le prêteur au vu de la solvabilité incertaine de l’emprunteuse. Il n’en demeure pas moins que ces intérêts n’ont jamais été payés par Z.________ S.àr.l., mais simplement portés en compte au débit de cette dernière. c) Il résulte de ce qui précède que la créance du recourant à l’encontre de Z.________ S.àr.l. appartenant à sa fortune privée, c’est à juste titre que l’autorité intimée a refusé d’admettre la déductibilité d’une provision comptabilisée à due concurrence dans le compte de charges de son entreprise individuelle. Cela conduit à opérer une reprise dans le revenu déclaré par le recourant pour l’année 2005. En revanche, on admettra, avec l’autorité intimée, que cette créance n’était plus recouvrable dès 2005. En effet, dès lors que sa faillite a été prononcée en 2006, il est vraisemblable que les difficultés financières de Z.________ S.àr.l. préexistaient. Il ne justifiait ainsi pas de reprendre cette créance également dans la fortune privée du recourant.</w:t>
      </w:r>
    </w:p>
    <w:p>
      <w:r>
        <w:rPr>
          <w:b/>
        </w:rPr>
        <w:t>E. 4</w:t>
      </w:r>
    </w:p>
    <w:p>
      <w:r>
        <w:t>Au surplus, c’est à juste titre que l’autorité intimée a ramené les déductions revendiquées par le recourant au titre des intérêts des capitaux d’épargne du contribuable durant les années 2005 et 2006 à 870, respectivement 744 francs. Comme tous les facteurs conduisant à une diminution de la créance fiscale (v. sur ce point, Peter Locher, Legalitätsprinzip im Steuerrecht, in Archives de droit fiscal 60, p. 1 et ss, not. 13 à 15, références citées), les articles 212 al. 1 LIFD et 37 al. 1 let. g LI doivent être interprétés de façon restrictive, de sorte qu’il n’y a pas lieu d’étendre leur champ d’application à d’autres rendements de la fortune mobilière que les intérêts de capitaux d’épargne. Du reste, ce volet de la décision du 4 mai 2012 n’a pas été remis en cause par le recourant.</w:t>
      </w:r>
    </w:p>
    <w:p>
      <w:r>
        <w:rPr>
          <w:b/>
        </w:rPr>
        <w:t>E. 5</w:t>
      </w:r>
    </w:p>
    <w:p>
      <w:r>
        <w:t>Vu ce qui précède, le recours sera partiellement admis en tant qu’il est dirigé contre la décision sur réclamation du 4 mai 2012. La nouvelle décision du 24 septembre 2012, remplaçant la décision précédente, sera confirmée. Le sort du recours commande que le recourant supporte le coût d’un émolument judiciaire réduit de moitié (art. 48, 51 et 91 LPA-VD). Pour les mêmes raisons, l’allocation de dépens ne saurait entrer en ligne de compte (art. 55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