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FI.2012.0046 vom 27. Dezember 2012</w:t>
      </w:r>
    </w:p>
    <w:p>
      <w:r>
        <w:t>VD Tribunal cantonal, 2012-12-27, FR</w:t>
      </w:r>
    </w:p>
    <w:p>
      <w:r>
        <w:rPr>
          <w:b/>
        </w:rPr>
        <w:t xml:space="preserve">Quelle: </w:t>
      </w:r>
      <w:r>
        <w:t>https://mcp.opencaselaw.ch/entscheid/vd_omni_FI.2012.0046</w:t>
      </w:r>
    </w:p>
    <w:p>
      <w:r>
        <w:t>FR: VD_OMNI FI.2012.0046 du 27 décembre 2012</w:t>
      </w:r>
    </w:p>
    <w:p>
      <w:r>
        <w:t>IT: VD_OMNI FI.2012.0046 del 27 dicembre 2012</w:t>
      </w:r>
    </w:p>
    <w:p>
      <w:pPr>
        <w:pStyle w:val="Heading2"/>
      </w:pPr>
      <w:r>
        <w:t>Regeste</w:t>
      </w:r>
    </w:p>
    <w:p>
      <w:r>
        <w:t>Commune de 3********/Administration cantonale des impôts, A. X.________, Commune de 16********, Kantonale Steueverwaltung | Détermination du domicile fiscal. Rappel des conditions posées par la jurisprudence. En l'espèce, la Commune recourante X. n'a pas établi que le contribuable aurait conservé à X. - à tout le moins pour la période fiscale 2011 qui est seule litigieuse - des liens affectifs et familiaux suffisamment forts pour renverser la présomption du domicile fiscal au lieu de travail.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recourante considère que c'est à tort que l'autorité intimée a décidé de renoncer à assujettir A. X.________ de façon illimitée dans le canton de Vaud à partir du 1 er janvier 2011. Elle fait valoir à cet égard que contrairement à ce qu'il soutient, A. X.________ n'a pas rompu les liens avec la commune de 3********. Il y serait régulièrement vu, ainsi que sur son lieu de travail, tant en semaine que les week-ends. Son attitude démontrerait plus une volonté de s'établir à 16******** motivée par des raisons purement fiscales qu'une volonté réelle d'y déplacer le centre de ses intérêts vitaux. D'ailleurs, les autorités de 16******** ne considèrent pas que A. X.________ soit domicilié fiscalement dans leur commune. Partant, il convient d'admettre que nonobstant son déménagement, son domicile fiscal demeure à 3********. Pour sa part, l'autorité intimée indique qu'elle a renoncé à l'assujettissement de A. X.________ dans le canton de Vaud en se fondant principalement sur le fait que celui-ci revenait à sa maison de 3******** uniquement le week-end, ce qui semblait être confirmé par le rapport du 23 février 2012 du Groupe spécial inspection fiscal. Toutefois, dès lors que des témoins l'auraient vu quasi quotidiennement à 3******** et que la commune de 16******** aurait émis des doutes quant à la réalité d'une prise de domicile par A. X.________ dans son appartement loué à 15********, l'autorité intimée a décidé de s'en remettre à justice s'agissant du recours et de la fixation du domicile fiscal de A. X.________ pour l'année 2011. A. X.________ expose quant à lui qu'il est à la tête d'un groupe de sociétés actives dans le domaine de la production, de la transformation et de la livraison de produits alimentaires, dans des établissements publics et chez des particuliers. Ce groupe de sociétés a connu d'importantes difficultés financières à la fin des années 90 et au début des années 2000, qui ont conduit A. X.________ à déployer une énergie considérable pour le remettre à flots, ce qu'il est finalement parvenu à faire. Pour assurer la pérennité de son groupe, A. X.________ a dû se résoudre à développer les marchés du Valais central, du Haut-Valais et de la Suisse alémanique. Parlant couramment l'allemand et le suisse allemand, il a décidé de s'occuper personnellement du développement des nouveaux marchés en Suisse allemande. C'est pour cette raison qu'il a fait le choix de s'y établir. A. X.________ admet revenir à 3******** un certain nombre de week-ends par année et régulièrement un jour ouvrable pour assurer le contrôle des opérations en Suisse romande. A. X.________ indique se rendre chez le médecin et le dentiste en Suisse allemande. Il y a déplacé en avril 2012 le siège social de l'une de ses sociétés qui a pour objectif d'acquérir des participations en Valais central, dans le Haut-Valais et en Suisse alémanique. Depuis le 1 er juillet 2012, il est salarié de la société O.________ avec siège à 16********. Compte tenu de ce qui précède, et se fondant en outre sur les conclusions de l'enquête diligentée par l'autorité intimée, A. X.________ considère que la recourante échoue dans la preuve de la persistance de son domicilie fiscal à 3********, dit domicile ayant été transféré en Suisse alémanique. b)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c)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pp. 222 s. et les arrêts cités). d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d'où il se rend quotidiennement à son travail (arrêts FI.2009.0074 du 20 décembre 2010 consid. consid.2c; FI.2009.0072 du 22 septembre 2009, consid. 3c; FI.2007.0160 du 29 octobre 2008 consid. 3;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w:t>
      </w:r>
    </w:p>
    <w:p>
      <w:r>
        <w:rPr>
          <w:b/>
        </w:rPr>
        <w:t>E. 3</w:t>
      </w:r>
    </w:p>
    <w:p>
      <w:r>
        <w:t>En définitive, le recours doit être rejeté et la décision attaquée, confirmée. Succombant, la recourante assumera les frais de justice. Ayant agi par l'intermédiaire d'un mandataire professionnel, A. X.________ a droit à l'allocation de dépens, qui seront supportés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