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FI.2012.0040 vom 26. November 2012</w:t>
      </w:r>
    </w:p>
    <w:p>
      <w:r>
        <w:t>VD Tribunal cantonal, 2012-11-26, FR</w:t>
      </w:r>
    </w:p>
    <w:p>
      <w:r>
        <w:rPr>
          <w:b/>
        </w:rPr>
        <w:t xml:space="preserve">Quelle: </w:t>
      </w:r>
      <w:r>
        <w:t>https://mcp.opencaselaw.ch/entscheid/vd_omni_FI.2012.0040</w:t>
      </w:r>
    </w:p>
    <w:p>
      <w:r>
        <w:t>FR: VD_OMNI FI.2012.0040 du 26 novembre 2012</w:t>
      </w:r>
    </w:p>
    <w:p>
      <w:r>
        <w:t>IT: VD_OMNI FI.2012.0040 del 26 novembre 2012</w:t>
      </w:r>
    </w:p>
    <w:p>
      <w:pPr>
        <w:pStyle w:val="Heading2"/>
      </w:pPr>
      <w:r>
        <w:t>Regeste</w:t>
      </w:r>
    </w:p>
    <w:p>
      <w:r>
        <w:t>X.________ SA c/Administration cantonale des impôts, Administration fédérale des contributions | La société contribuable a joint à ses déclarations des comptes non signés et non approuvés, qu'elle a présentés par surcroît comme étant provisoires. Or, pendant la procédure de réclamation, elle satisfait à la sommation qui lui avait été adressée de produire des comptes "définitifs", offrant ainsi de prouver à l'autorité que la taxation d'office qui lui avait été notifiée ne correspondait pas à sa situation réelle. Il s'ensuit que, dès cet instant, sa réclamation apparaissait comme suffisamment motivée et partant, recevable. Par conséquent, en lui opposant l'irrecevabilité de sa réclamation, l'autorité intimée n'a pas respecté le droit de la contribuable à être entendue, soit à ce que l'autorité entre en matière sur le contenu de sa réclamation.</w:t>
      </w:r>
    </w:p>
    <w:p>
      <w:pPr>
        <w:pStyle w:val="Heading2"/>
      </w:pPr>
      <w:r>
        <w:t>Erwägungen</w:t>
      </w:r>
    </w:p>
    <w:p>
      <w:r>
        <w:rPr>
          <w:b/>
        </w:rPr>
        <w:t>E. 1</w:t>
      </w:r>
    </w:p>
    <w:p>
      <w:r>
        <w:t>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la recourante et s’en tenir à une procédure exclusivement écrite. La recourante s’est exprimée par écrit à deux reprises; on ne retire pas de ses explications qu’une audience doive être tenue. Les faits sont établis et le litige a trait à des questions d’ordre exclusivement juridique, que le Tribunal examine avec un plein pouvoir d’examen (art. 98 LPA-VD). Dès lors, par appréciation anticipée des preuves, le Tribunal s’estime en mesure de statuer en connaissance de cause, en se dispensant de convoquer une audience aux fins de recueillir les explications orales des représentants de la recourante et d’entendre d’éventuels témoins.</w:t>
      </w:r>
    </w:p>
    <w:p>
      <w:r>
        <w:rPr>
          <w:b/>
        </w:rPr>
        <w:t>E. 2</w:t>
      </w:r>
    </w:p>
    <w:p>
      <w:r>
        <w:t>Le litige porte sur la recevabilité d'une réclamation contre des décisions de taxation d'office. En tant qu’elle a trait à l’impôt cantonal et communal, la décision attaquée est régie par la loi du 4 juillet 2000 sur les impôts directs cantonaux (LI; RSV 642.11). S'agissant d'une matière harmonisée, la loi fédérale du 14 décembre 1990 sur l’harmonisation des impôts directs des cantons et des communes (LHID; RS 642.14), entrée en vigueur le 1 er janvier 1993, est également applicable. En droit fédéral, c’est la loi sur l’impôt fédéral direct du 14 décembre 1990 (LIFD; RS 642.11), en vigueur depuis le 1 er janvier 1995, qui s'applique. a) A teneur des art. 180 al. 1 LI, 46 al. 1 LHID et 130 al. 1 LIFD,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180 al. 2 LI, 130 al. 2 LIFD; cf. art. 46 al. 3 LHID).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De façon générale, le contribuable a une obligation de collaboration; il doit renseigner l'autorité fiscale sur tous les faits pertinents; il doit faire tout ce qui est nécessaire pour assurer une taxation complète et exacte.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LHID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b) En droit cantonal comme en droit fédéral, le contribuable qui a été taxé d'office peut déposer une réclamation contre cette taxation uniquement pour le motif qu'elle est manifestement inexacte. La réclamation doit être motivée et indiquer, le cas échéant, les moyens de preuve (art. 186 al. 2 LI, 132 al. 3 LIFD; l'art. 48 al. 2 LHID a la même teneur).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ATF 2A.657/2005 du 9 juin 2006 in RF 62/2007, p. 44, consid. 2; 2A.277/2001 du 22 octobre 2001; 2A.453/2000 du 4 avril 2001).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Le contribuable ne peut, dans le cadre d'une réclamation contre une taxation d'office, se limiter à une contestation globale ou à une contestation partielle de positions uniques, car cela ne permet pas d'examiner d'emblée si la taxation d'office est manifestement inexacte (ATF 2A.39/2004 du 29 mars 2005, consid. 5.2, publié notamment in RF 60/2005 p. 520 et traduit in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Bâle 2008, ad art 132 LIFD n° 23, p. 1277). Ainsi, le contribuable ne doit pas se contenter de mettre en doute la taxation d'office, mais doit prouver que celle-ci ne correspond pas à la situation réelle.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(ATF 131 II 548, consid. 2.3; ATF 2A.39/2004 du 29 mars 2005, consid. 5.2, traduit in RDAF 2005 II 564). Pour le Tribunal fédéral, le contribuable ne doit pas se contenter de mettre en doute la taxation d'office, mais doit prouver que celle-ci ne correspond pas à la situation réelle. Si la production de la déclaration d'impôt non déposée n'est pas une condition de recevabilité de la réclamation (ATF 2C_463/2009 du 21 décembre 2009 consid. 4.1, qui confirme l'arrêt cantonal FI.2007.0103 du 10 juin 2009; 2C_579/2008 du 29 avril 2009, consid. 2.2 et les arrêts cités, publié in StE 2009 B 95.1 n°14), il appartient toutefois au réclamant de présenter les faits de manière suffisamment détaillée et de mentionner les moyens de preuve relatifs à cet état de fait (arrêt précité consid. 2.1). c)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respectivement d'éviter qu'il puisse finalement obtenir d'être soumis à une procédure de taxation ordinaire au même titre que le contribuable qui a agi en temps utile (ATF 131 II 548, consid. 2.3; ATF 2A.39/2004 du 29 mars 2005, consid. 5.2, traduit in RDAF 2005 II 564; ATF 123 II 552 consid. 4c; ég. arrêt FI.2007.0103 du 10 juin 2009 consid. 2b, ainsi que les références citées). d) Lorsque l'autorité de taxation n'est pas entrée en matière sur la réclamation, le Tribunal cantonal - qui a les mêmes compétences que l'autorité de taxation (art. 142 al. 4 LIFD) - doit d'abord examiner si les conditions formelles de recevabilité de la réclamation (forme écrite, délai, motivation, moyen de preuve, etc.) étaient, ou non, remplies. A cet égard, il doit uniquement examiner si l'autorité de réclamation a admis à bon droit que le réclamant n'avait pas établi le caractère manifestement inexact de la taxation. Si tel est le cas, il doit rejeter le recours déposé devant elle sans examiner lui-même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w:t>
      </w:r>
    </w:p>
    <w:p>
      <w:r>
        <w:rPr>
          <w:b/>
        </w:rPr>
        <w:t>E. 3</w:t>
      </w:r>
    </w:p>
    <w:p>
      <w:r>
        <w:t>Ceci exposé, l’on doit maintenant se demander si, en l’occurrence, l'autorité intimée était en droit de déclarer irrecevable les réclamations dirigées contre les taxations d’office. Si tel devait être le cas, le tribunal devra rejeter le recours, sans examiner lui-même le détail des taxations. S’il apparaissait en revanche que c’est à tort que l'autorité inférieure n'est pas entrée en matière sur les réclamations, il y aurait lieu, dans ce cas, de lui renvoyer la cause pour nouvelle décision. La recourante invoque deux motifs principaux à l’appui de ses conclusions. a) La recourante fait valoir en premier lieu que les conditions permettant à l’autorité de taxation de procéder à une évaluation d’office de ses éléments imposables n’étaient pas réunies en l’espèce. A ses déclarations du 27 octobre 2007, la recourante a joint des comptes non signés et non encore approuvés par l’assemblée générale. Les articles 125 al. 2 LIFD et 175 al. 1 LI disposent à cet égard que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Ces dispositions renvoient au Code des obligations, dont l’art. 957 prescrit que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 résultat des exercices annuels (al. 1). Les livres, les pièces comptables et la correspondance peuvent être tenus et conservés par écrit, par un moyen électronique ou par un moyen comparable, pour autant que la conformité avec la transaction de base soit garantie (al. 2). Le compte d’exploitation et le bilan doivent être conservés par écrit et signés. Les autres livres, les pièces comptables et la correspondance peuvent être conservés également par un moyen électronique ou par un moyen comparable, pour autant qu’ils puissent être rendus lisibles en tout temps (al. 3). Toute personne astreinte à tenir des livres doit dresser un inventaire et un bilan au début de son entreprise, ainsi qu’un inventaire, un compte d’exploitation et un bilan à la fin de chaque exercice annuel (art. 958 al. 1 CO). Le compte d’exploitation et le bilan annuel sont dressés conformément aux principes généralement admis dans le commerce; ils doivent être complets, clairs et faciles à consulter, afin que les intéressés puissent se rendre compte aussi exactement que possible de la situation économique de l’entreprise (art. 959 CO). Le compte d’exploitation et le bilan sont signés par le chef d’entreprise ou, le cas échéant, par tous les associés personnellement responsables; s’il s’agit de sociétés anonymes, de sociétés en commandite par actions, de sociétés à responsabilité limitée ou de sociétés coopératives, ils sont signés par les personnes chargées de la gestion (art. 961 CO). Dès lors, l’art. 125 al. 2 LIFD implique que l es personnes morales doivent soumettre à l’autorité fiscale les comptes approuvés par l'organe compétent, (v. Martin Zweifel, in Kommentar zum Schweizerischen Steuerrecht I/2b, vol. II, 2 ème édition, Bâle 2008, ad 125 LIFD n° 26 p. 295). Ainsi, la société contribuable ne remplit pas son obligation de collaboration en remettant des comptes non signés ou non approuvés par l’organe compétent soit, s’agissant de la société anonyme, l’assemblée générale des actionnaires (cf. art. 698 al. 2 ch. 4 CO). Il en résulte que si cette informalité n’est pas corrigée, malgré sommation, la société contribuable s’expose à une évaluation d’office de ses éléments imposables, conformément à l’art. 130 al. 2 LIFD (Zweifel, ibid.). Il n’en demeure pas moins que l’obligation de signer les comptes ne constitue qu’une simple prescription d’ordre et non une condition de validité de ceux-ci; il importe de veiller à cet égard que les comptes ont bien été signés et approuvés (v. arrêt du Tribunal administratif du canton de Zurich du 27 octobre 1999, in StE 2000 B.92.3, n° 11, consid. 4). L'absence de signature au pied du bilan est du reste sans incidence sur son aptitude à servir de preuve, pour autant qu’il puisse être établi que ce document a été dressé par les personnes qui doivent le signer ou que celles-ci l'ont accepté (ATF 103 IV 140 consid. 1b p. 25). Ainsi, une taxation d’office pour absence de signature ne pourra intervenir que si l’autorité fiscale a des raisons sérieuses de douter de l’authenticité des comptes qui lui sont soumis par la société contribuable (Zweifel, ibid., p. 296). En l’occurrence, se pose la question du bien-fondé de la taxation d’office, dès lors que l’autorité de taxation a estimé que la recourante n’avait pas rempli son devoir de collaboration, bien que ses déclarations fussent accompagnées de comptes correctement présentés, contenant une annexe fournie, certes non signés, le tout au surplus complété par une note d’information à l’attention du taxateur. L’autorité intimée estime, cela étant, que les comptes produits à l’appui de ses déclarations pour les années 2003 et 2006 souffrent de plusieurs informalités. Non seulement ils ne sont pas signés, mais par surcroît n’ont pas été approuvés par l’assemblée générale. Ces comptes ont du reste été présentés comme provisoires, la recourante se réservant même la possibilité de les modifier suivant le résultat de la procédure concernant les années 1995 à 2002. Dès lors, ces comptes ne sont pas simplement affectés d’un vice formel, comme la recourante paraît le soutenir; leur validité matérielle est surtout sujette à caution. La recourante elle-même le reconnaît, puisqu’elle a toujours expliqué se trouver dans l’incapacité de les finaliser, au moins jusqu’à droit jugé dans la procédure pour soustraction portant sur les périodes fiscales antérieures, dans la mesure où celle-ci pouvait affecter sa comptabilité. Sans doute, l’autorité de taxation avait la faculté, dans une situation de ce genre et au vu des explications de la recourante, de notifier dans un premier temps une taxation provisoire, conformément aux articles 162 al. 1 LIFD et 219 al. 1 LI, «sur la base de la déclaration ou sur celle de la taxation précédente ou encore selon une estimation du montant dû» ; elle n’en avait toutefois nullement l’obligation. La recourante perd de vue qu’obligation est faite à l’administration de la société anonyme de convoquer une assemblée générale ordinaire chaque année, dans les six mois qui suivent la clôture de l’exercice (art. 699 al. 2 CO). Cela signifie que les comptes annuels doivent être approuvés dans ce délai (v. Peter Forstmoser/Arthur Meier-Hayoz/Peter Nobel, Schweizerisches Aktienrecht, Berne 1996, § 51 N. 77, p. 696; Marc Bauen/Robert Bernet/Nicolas Rouiller, La société anonyme suisse, Zurich 2007, note 1 ad ch. 339 p. 127). A cela s’ajoute, sur le plan fiscal, la règle de l’art. 79 al. 3 LIFD: chaque année civile, l’année de fondation exceptée, les comptes doivent être clos et un bilan et un compte de résultats établis (v. sur ce point, Marc Bugnon, in Commentaire romand, ad 79 LIFD n° 3, p. 996). Quoi qu’elle en dise, la recourante avait donc l’obligation d’établir des comptes chaque année, y compris pour les exercices 2003 à 2006. Du dossier de pièces qu’elle a produit, il ressort du reste que les comptes 2003 à 2005 ont été audités le 6 août 2007. Cela signifiait que ces comptes étaient définitifs au moment où la déclaration d’impôt a été établie. Dès lors, la recourante ne pouvait se contenter de présenter ces comptes comme provisoires, puisque par définition de tels comptes ne sont pas susceptibles d’être approuvés par une assemblée générale. Il résulte de ce qui précède que les comptes produits par la recourante, tels qu’ils ont été présentés à l’autorité de taxation, étaient affectés d’un vice aussi bien formel que matériel, auquel celle-ci n’a pas remédié après les sommations qui lui ont été adressées. Dans sa réplique, la recourante a annoncé que les comptes produits avaient en définitive été signés par les administrateurs et audités par l’organe de révision; on y reviendra plus loin. Or, ces signatures sont intervenues postérieurement à la réclamation, de sorte que la comptabilité produite demeure entachée d’un défaut rédhibitoire, qu’une signature à l’évidence tardive ne saurait réparer (v. sur ce point, ATF 2C_669/2008 du 8 décembre 2008, consid. 7.2). Les conditions permettant à l’autorité de taxation de procéder à une évaluation d’office des éléments imposables de la recourante étaient par conséquent réunies. b) En second lieu, la recourante soutient que sa réclamation était recevable dès l’instant où, durant la procédure de réclamation, elle avait réparé le défaut initial de collaboration à la taxation. Dans son acte du 5 janvier 2009, la recourante s’est d’abord limitée à contester les taxations d’office qui lui ont été notifiées. En outre, elle s’est simplement référée à l’argumentaire présenté devant le Tribunal cantonal dans le cadre de la cause FI.2009.0001, qui, faut-il le rappeler concerne les périodes fiscales antérieures. S’agissant des éléments imposables durant les périodes concernées par la présente procédure, soit les années 2003 à 2006, la recourante a simplement indiqué qu’il n’y avait pas lieu de réintégrer partiellement dans son bénéfice imposable les charges comptabilisées en relation avec la sous-traitance à A.________ SA et celles concernant la location d’avions privés, d’une part, et que son bénéfice imposable ne devait pas être augmenté « étant donné que la marge réalisée par la société est conforme au principe de la pleine concurrence », d’autre part. Cela s’avère à l’évidence insuffisant; la recourante n’a pas démontré, ce faisant, qu’elle entendait se prêter désormais à la collaboration qu'elle avait négligée jusqu'alors. Comme on l’a vu ci-dessus, la recourante n’avait toujours pas joint à sa réclamation une comptabilité définitive et approuvée par son assemblée générale, comme lui demandait l’autorité de taxation et ainsi qu’on pouvait l’attendre de sa part. C’est seulement d ans sa réponse négative du 15 juin 2010 aux propositions de règlement qui lui ont été adressées par l’autorité de taxation, que la recourante a finalement indiqué que les comptes joints aux déclarations, présentés jusqu’alors comme provisoires, devaient être considérés comme définitifs. Sans doute, les comptes 2003 à 2005, on l’a dit plus haut, avaient été audités le 6 août 2007; les comptes 2006 l’ont été le 20 octobre 2008. La recourante n’en avait pas moins présenté ceux-ci comme provisoires. Quoi qu’il en soit, l’essentiel est de relever que, lorsque la recourante a informé l’autorité de taxation de ce que ces comptes étaient définitifs, la procédure de réclamation était toujours pendante. En effet, l’autorité intimée, à laquelle la réclamation n’avait pas été transmise, n’avait pas encore statué. A cet égard, on rappelle que, p armi les principes constitutionnels applicables en matière fiscale à la procédure contentieuse, le droit du contribuable d'être entendu doit être respecté. Tel qu'il est garanti par l'art. 29 al. 2 Cst., celui-ci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s.; 127 V 431 consid. 3a p. 436; 124 II 132 consid. 2b p. 137 et la jurisprudence citée). Le respect de ce droit a du reste conduit la jurisprudence à nuancer quelque peu la rigueur dont est empreinte la procédure de réclamation contre une taxation d’office (v. sur ce point, arrêts FI.2010.0080 du 11 mai 2011; FI.2003.0030 du 29 septembre 2003; FI.2002.0017 du 14 octobre 2002). En l’espèce, il s’avère que la recourante a satisfait, pendant la procédure de réclamation, à la sommation qui lui avait été adressée de produire des comptes «définitifs» . L a recourante avait ainsi offert de prouver à l’autorité que les taxations d’office qui lui avaient été notifiées ne correspondaient pas à sa situation réelle. Il s’ensuit que, dès cet instant, sa réclamation apparaissait comme suffisamment motivée au sens où les articles 132 al. 3 LIFD et 186 al. 2 LI le requièrent et partant, recevable. Par conséquent, en lui opposant l’irrecevabilité de sa réclamation, l’autorité intimée n’a pas respecté le droit de la recourante à être entendue, soit à ce que l’autorité entre en matière sur le contenu de sa réclamation.</w:t>
      </w:r>
    </w:p>
    <w:p>
      <w:r>
        <w:rPr>
          <w:b/>
        </w:rPr>
        <w:t>E. 4</w:t>
      </w:r>
    </w:p>
    <w:p>
      <w:r>
        <w:t>Les considérants qui précèdent conduisent le Tribunal à admettre le recours et à annuler la décision attaquée. La cause est renvoyée à l’autorité intimée pour qu’elle entre en matière sur la réclamation et rende une nouvelle décision au sens des considérants qui précèdent. Vu le sort du recours, le présent arrêt sera rendu sans frais (art. 48, 52 al. 1 et 91 LPA-VD). En outre, des dépens seront alloués à la recourante, celle-ci obtenant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